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53" w:rsidRPr="001B4453" w:rsidRDefault="001B4453" w:rsidP="001B4453">
      <w:pPr>
        <w:widowControl/>
        <w:spacing w:before="100" w:beforeAutospacing="1" w:after="100" w:afterAutospacing="1"/>
        <w:jc w:val="left"/>
        <w:outlineLvl w:val="0"/>
        <w:rPr>
          <w:rFonts w:ascii="宋体" w:eastAsia="宋体" w:hAnsi="宋体" w:cs="宋体"/>
          <w:b/>
          <w:bCs/>
          <w:kern w:val="36"/>
          <w:sz w:val="48"/>
          <w:szCs w:val="48"/>
        </w:rPr>
      </w:pPr>
      <w:r w:rsidRPr="001B4453">
        <w:rPr>
          <w:rFonts w:ascii="宋体" w:eastAsia="宋体" w:hAnsi="宋体" w:cs="宋体"/>
          <w:b/>
          <w:bCs/>
          <w:kern w:val="36"/>
          <w:sz w:val="48"/>
          <w:szCs w:val="48"/>
        </w:rPr>
        <w:t>中华人民共和国香港特别行政区维护国家安全法</w:t>
      </w:r>
    </w:p>
    <w:p w:rsidR="001B4453" w:rsidRPr="001B4453" w:rsidRDefault="001B4453" w:rsidP="001B4453">
      <w:pPr>
        <w:widowControl/>
        <w:jc w:val="left"/>
        <w:rPr>
          <w:rFonts w:ascii="宋体" w:eastAsia="宋体" w:hAnsi="宋体" w:cs="宋体"/>
          <w:kern w:val="0"/>
          <w:sz w:val="24"/>
          <w:szCs w:val="24"/>
        </w:rPr>
      </w:pPr>
      <w:r w:rsidRPr="001B4453">
        <w:rPr>
          <w:rFonts w:ascii="宋体" w:eastAsia="宋体" w:hAnsi="宋体" w:cs="宋体"/>
          <w:kern w:val="0"/>
          <w:sz w:val="24"/>
          <w:szCs w:val="24"/>
        </w:rPr>
        <w:t xml:space="preserve">2020-07-01 09:44 新华网 </w:t>
      </w:r>
    </w:p>
    <w:p w:rsidR="001B4453" w:rsidRPr="001B4453" w:rsidRDefault="001B4453" w:rsidP="001B4453">
      <w:pPr>
        <w:widowControl/>
        <w:jc w:val="left"/>
        <w:rPr>
          <w:rFonts w:ascii="宋体" w:eastAsia="宋体" w:hAnsi="宋体" w:cs="宋体"/>
          <w:kern w:val="0"/>
          <w:sz w:val="24"/>
          <w:szCs w:val="24"/>
        </w:rPr>
      </w:pPr>
      <w:r w:rsidRPr="001B4453">
        <w:rPr>
          <w:rFonts w:ascii="宋体" w:eastAsia="宋体" w:hAnsi="宋体" w:cs="宋体"/>
          <w:kern w:val="0"/>
          <w:sz w:val="24"/>
          <w:szCs w:val="24"/>
        </w:rPr>
        <w:t>字号：</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新华社北京6月30日电</w:t>
      </w:r>
    </w:p>
    <w:p w:rsidR="001B4453" w:rsidRPr="001B4453" w:rsidRDefault="001B4453" w:rsidP="001B4453">
      <w:pPr>
        <w:widowControl/>
        <w:spacing w:before="100" w:beforeAutospacing="1" w:after="100" w:afterAutospacing="1"/>
        <w:jc w:val="center"/>
        <w:rPr>
          <w:rFonts w:ascii="宋体" w:eastAsia="宋体" w:hAnsi="宋体" w:cs="宋体"/>
          <w:kern w:val="0"/>
          <w:sz w:val="24"/>
          <w:szCs w:val="24"/>
        </w:rPr>
      </w:pPr>
      <w:r w:rsidRPr="001B4453">
        <w:rPr>
          <w:rFonts w:ascii="宋体" w:eastAsia="宋体" w:hAnsi="宋体" w:cs="宋体"/>
          <w:b/>
          <w:bCs/>
          <w:kern w:val="0"/>
          <w:sz w:val="24"/>
          <w:szCs w:val="24"/>
        </w:rPr>
        <w:t>中华人民共和国香港特别行政区维护国家安全法</w:t>
      </w:r>
    </w:p>
    <w:p w:rsidR="001B4453" w:rsidRPr="001B4453" w:rsidRDefault="001B4453" w:rsidP="001B4453">
      <w:pPr>
        <w:widowControl/>
        <w:spacing w:before="100" w:beforeAutospacing="1" w:after="100" w:afterAutospacing="1"/>
        <w:jc w:val="center"/>
        <w:rPr>
          <w:rFonts w:ascii="宋体" w:eastAsia="宋体" w:hAnsi="宋体" w:cs="宋体"/>
          <w:kern w:val="0"/>
          <w:sz w:val="24"/>
          <w:szCs w:val="24"/>
        </w:rPr>
      </w:pPr>
      <w:r w:rsidRPr="001B4453">
        <w:rPr>
          <w:rFonts w:ascii="宋体" w:eastAsia="宋体" w:hAnsi="宋体" w:cs="宋体"/>
          <w:kern w:val="0"/>
          <w:sz w:val="24"/>
          <w:szCs w:val="24"/>
        </w:rPr>
        <w:t>（2020年6月30日第十三届全国人民代表大会常务委员会第二十次会议通过）</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b/>
          <w:bCs/>
          <w:kern w:val="0"/>
          <w:sz w:val="24"/>
          <w:szCs w:val="24"/>
        </w:rPr>
        <w:t>目录</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第一章　总则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第二章　香港特别行政区维护国家安全的职责和机构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第一节　职责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第二节　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第三章　罪行和处罚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第一节　分裂国家罪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第二节　颠覆国家政权罪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第三节　恐怖活动罪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第四节　勾结外国或者境外势力危害国家安全罪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第五节　其他处罚规定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第六节　效力范围</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第四章　案件管辖、法律适用和程序</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第五章　中央人民政府驻香港特别行政区维护国家安全机构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第六章　附则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第一章　总则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lastRenderedPageBreak/>
        <w:t>第一条　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中华人民共和国宪法、中华人民共和国香港特别行政区基本法和全国人民代表大会关于建立健全香港特别行政区维护国家安全的法律制度和执行机制的决定，制定本法。</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第二条　关于香港特别行政区法律地位的香港特别行政区基本法第一条和第十二条规定是香港特别行政区基本法的根本性条款。香港特别行政区任何机构、组织和个人行使权利和自由，不得违背香港特别行政区基本法第一条和第十二条的规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第三条　中央人民政府对香港特别行政区有关的国家安全事务负有根本责任。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香港特别行政区负有维护国家安全的宪制责任，应当履行维护国家安全的职责。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香港特别行政区行政机关、立法机关、司法机关应当依据本法和其他有关法律规定有效防范、制止和惩治危害国家安全的行为和活动。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第四条　香港特别行政区维护国家安全应当尊重和保障人权，依法保护香港特别行政区居民根据香港特别行政区基本法和《公民权利和政治权利国际公约》、《经济、社会与文化权利的国际公约》适用于香港的有关规定享有的包括言论、新闻、出版的自由，结社、集会、游行、示威的自由在内的权利和自由。</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第五条　防范、制止和惩治危害国家安全犯罪，应当坚持法治原则。法律规定为犯罪行为的，依照法律定罪处刑；法律没有规定为犯罪行为的，不得定罪处刑。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任何人未经司法机关判罪之前均假定无罪。保障犯罪嫌疑人、被告人和其他诉讼参与人依法享有的辩护权和其他诉讼权利。任何人已经司法程序被最终确定有罪或者宣告无罪的，不得就同一行为再予审判或者惩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第六条　维护国家主权、统一和领土完整是包括香港同胞在内的全中国人民的共同义务。</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在香港特别行政区的任何机构、组织和个人都应当遵守本法和香港特别行政区有关维护国家安全的其他法律，不得从事危害国家安全的行为和活动。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香港特别行政区居民在参选或者就任公职时应当依法签署文件确认或者宣誓拥护中华人民共和国香港特别行政区基本法，效忠中华人民共和国香港特别行政区。</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第二章　香港特别行政区维护国家安全的职责和机构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第一节　职责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第七条　香港特别行政区应当尽早完成香港特别行政区基本法规定的维护国家安全立法，完善相关法律。</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第八条　香港特别行政区执法、司法机关应当切实执行本法和香港特别行政区现行法律有关防范、制止和惩治危害国家安全行为和活动的规定，有效维护国家安全。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第九条　香港特别行政区应当加强维护国家安全和防范恐怖活动的工作。对学校、社会团体、媒体、网络等涉及国家安全的事宜，香港特别行政区政府应当采取必要措施，加强宣传、指导、监督和管理。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第十条　香港特别行政区应当通过学校、社会团体、媒体、网络等开展国家安全教育，提高香港特别行政区居民的国家安全意识和守法意识。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第十一条　香港特别行政区行政长官应当就香港特别行政区维护国家安全事务向中央人民政府负责，并就香港特别行政区履行维护国家安全职责的情况提交年度报告。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如中央人民政府提出要求，行政长官应当就维护国家安全特定事项及时提交报告。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第二节　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第十二条　香港特别行政区设立维护国家安全委员会，负责香港特别行政区维护国家安全事务，承担维护国家安全的主要责任，并接受中央人民政府的监督和问责。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第十三条　香港特别行政区维护国家安全委员会由行政长官担任主席，成员包括政务司长、财政司长、律政司长、保安局局长、警务处处长、本法第十六条规定的警务处维护国家安全部门的负责人、入境事务处处长、海关关长和行政长官办公室主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香港特别行政区维护国家安全委员会下设秘书处，由秘书长领导。秘书长由行政长官提名，报中央人民政府任命。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第十四条　香港特别行政区维护国家安全委员会的职责为：</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（一）分析研判香港特别行政区维护国家安全形势，规划有关工作，制定香港特别行政区维护国家安全政策；</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（二）推进香港特别行政区维护国家安全的法律制度和执行机制建设；</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（三）协调香港特别行政区维护国家安全的重点工作和重大行动。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香港特别行政区维护国家安全委员会的工作不受香港特别行政区任何其他机构、组织和个人的干涉，工作信息不予公开。香港特别行政区维护国家安全委员会作出的决定不受司法复核。</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第十五条　香港特别行政区维护国家安全委员会设立国家安全事务顾问，由中央人民政府指派，就香港特别行政区维护国家安全委员会履行职责相关事务提供意见。国家安全事务顾问列席香港特别行政区维护国家安全委员会会议。</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第十六条　香港特别行政区政府警务处设立维护国家安全的部门，配备执法力量。</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警务处维护国家安全部门负责人由行政长官任命，行政长官任命前须书面征求本法第四十八条规定的机构的意见。警务处维护国家安全部门负责人在就职时应当宣誓拥护中华人民共和国香港特别行政区基本法，效忠中华人民共和国香港特别行政区，遵守法律，保守秘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警务处维护国家安全部门可以从香港特别行政区以外聘请合格的专门人员和技术人员，协助执行维护国家安全相关任务。</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第十七条　警务处维护国家安全部门的职责为：</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（一）收集分析涉及国家安全的情报信息；</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（二）部署、协调、推进维护国家安全的措施和行动；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（三）调查危害国家安全犯罪案件；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（四）进行反干预调查和开展国家安全审查；</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（五）承办香港特别行政区维护国家安全委员会交办的维护国家安全工作；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（六）执行本法所需的其他职责。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第十八条　香港特别行政区律政司设立专门的国家安全犯罪案件检控部门，负责危害国家安全犯罪案件的检控工作和其他相关法律事务。该部门检控官由律政司长征得香港特别行政区维护国家安全委员会同意后任命。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律政司国家安全犯罪案件检控部门负责人由行政长官任命，行政长官任命前须书面征求本法第四十八条规定的机构的意见。律政司国家安全犯罪案件检控部门负责人在就职时应当宣誓拥护中华人民共和国香港特别行政区基本法，效忠中华人民共和国香港特别行政区，遵守法律，保守秘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第十九条　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第三章　罪行和处罚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第一节　分裂国家罪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第二十条　任何人组织、策划、实施或者参与实施以下旨在分裂国家、破坏国家统一行为之一的，不论是否使用武力或者以武力相威胁，即属犯罪：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（一）将香港特别行政区或者中华人民共和国其他任何部分从中华人民共和国分离出去；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（二）非法改变香港特别行政区或者中华人民共和国其他任何部分的法律地位；</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（三）将香港特别行政区或者中华人民共和国其他任何部分转归外国统治。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犯前款罪，对首要分子或者罪行重大的，处无期徒刑或者十年以上有期徒刑；对积极参加的，处三年以上十年以下有期徒刑；对其他参加的，处三年以下有期徒刑、拘役或者管制。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第二十一条　任何人煽动、协助、教唆、以金钱或者其他财物资助他人实施本法第二十条规定的犯罪的，即属犯罪。情节严重的，处五年以上十年以下有期徒刑；情节较轻的，处五年以下有期徒刑、拘役或者管制。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第二节　颠覆国家政权罪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第二十二条　任何人组织、策划、实施或者参与实施以下以武力、威胁使用武力或者其他非法手段旨在颠覆国家政权行为之一的，即属犯罪：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（一）推翻、破坏中华人民共和国宪法所确立的中华人民共和国根本制度；</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（二）推翻中华人民共和国中央政权机关或者香港特别行政区政权机关；</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（三）严重干扰、阻挠、破坏中华人民共和国中央政权机关或者香港特别行政区政权机关依法履行职能；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（四）攻击、破坏香港特别行政区政权机关履职场所及其设施，致使其无法正常履行职能。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犯前款罪，对首要分子或者罪行重大的，处无期徒刑或者十年以上有期徒刑；对积极参加的，处三年以上十年以下有期徒刑；对其他参加的，处三年以下有期徒刑、拘役或者管制。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第二十三条　任何人煽动、协助、教唆、以金钱或者其他财物资助他人实施本法第二十二条规定的犯罪的，即属犯罪。情节严重的，处五年以上十年以下有期徒刑；情节较轻的，处五年以下有期徒刑、拘役或者管制。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第三节　恐怖活动罪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第二十四条　为胁迫中央人民政府、香港特别行政区政府或者国际组织或者威吓公众以图实现政治主张，组织、策划、实施、参与实施或者威胁实施以下造成或者意图造成严重社会危害的恐怖活动之一的，即属犯罪：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（一）针对人的严重暴力；</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（二）爆炸、纵火或者投放毒害性、放射性、传染病病原体等物质；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（三）破坏交通工具、交通设施、电力设备、燃气设备或者其他易燃易爆设备；</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（四）严重干扰、破坏水、电、燃气、交通、通讯、网络等公共服务和管理的电子控制系统；</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（五）以其他危险方法严重危害公众健康或者安全。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犯前款罪，致人重伤、死亡或者使公私财产遭受重大损失的，处无期徒刑或者十年以上有期徒刑；其他情形，处三年以上十年以下有期徒刑。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第二十五条　组织、领导恐怖活动组织的，即属犯罪，处无期徒刑或者十年以上有期徒刑，并处没收财产；积极参加的，处三年以上十年以下有期徒刑，并处罚金；其他参加的，处三年以下有期徒刑、拘役或者管制，可以并处罚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本法所指的恐怖活动组织，是指实施或者意图实施本法第二十四条规定的恐怖活动罪行或者参与或者协助实施本法第二十四条规定的恐怖活动罪行的组织。</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第二十六条　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徒刑、拘役或者管制，并处罚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有前款行为，同时构成其他犯罪的，依照处罚较重的规定定罪处罚。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第二十七条　宣扬恐怖主义、煽动实施恐怖活动的，即属犯罪。情节严重的，处五年以上十年以下有期徒刑，并处罚金或者没收财产；其他情形，处五年以下有期徒刑、拘役或者管制，并处罚金。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第二十八条　本节规定不影响依据香港特别行政区法律对其他形式的恐怖活动犯罪追究刑事责任并采取冻结财产等措施。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第四节　勾结外国或者境外势力危害国家安全罪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第二十九条　为外国或者境外机构、组织、人员窃取、刺探、收买、非法提供涉及国家安全的国家秘密或者情报的；请求外国或者境外机构、组织、人员实施，与外国或者境外机构、组织、人员串谋实施，或者直接或者间接接受外国或者境外机构、组织、人员的指使、控制、资助或者其他形式的支援实施以下行为之一的，均属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（一）对中华人民共和国发动战争，或者以武力或者武力相威胁，对中华人民共和国主权、统一和领土完整造成严重危害；</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（二）对香港特别行政区政府或者中央人民政府制定和执行法律、政策进行严重阻挠并可能造成严重后果；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（三）对香港特别行政区选举进行操控、破坏并可能造成严重后果；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（四）对香港特别行政区或者中华人民共和国进行制裁、封锁或者采取其他敌对行动；</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（五）通过各种非法方式引发香港特别行政区居民对中央人民政府或者香港特别行政区政府的憎恨并可能造成严重后果。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犯前款罪，处三年以上十年以下有期徒刑；罪行重大的，处无期徒刑或者十年以上有期徒刑。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本条第一款规定涉及的境外机构、组织、人员，按共同犯罪定罪处刑。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第三十条　为实施本法第二十条、第二十二条规定的犯罪，与外国或者境外机构、组织、人员串谋，或者直接或者间接接受外国或者境外机构、组织、人员的指使、控制、资助或者其他形式的支援的，依照本法第二十条、第二十二条的规定从重处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第五节　其他处罚规定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第三十一条　公司、团体等法人或者非法人组织实施本法规定的犯罪的，对该组织判处罚金。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公司、团体等法人或者非法人组织因犯本法规定的罪行受到刑事处罚的，应责令其暂停运作或者吊销其执照或者营业许可证。</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第三十二条　因实施本法规定的犯罪而获得的资助、收益、报酬等违法所得以及用于或者意图用于犯罪的资金和工具，应当予以追缴、没收。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第三十三条　有以下情形的，对有关犯罪行为人、犯罪嫌疑人、被告人可以从轻、减轻处罚；犯罪较轻的，可以免除处罚：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（一）在犯罪过程中，自动放弃犯罪或者自动有效地防止犯罪结果发生的；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（二）自动投案，如实供述自己的罪行的；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（三）揭发他人犯罪行为，查证属实，或者提供重要线索得以侦破其他案件的。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被采取强制措施的犯罪嫌疑人、被告人如实供述执法、司法机关未掌握的本人犯有本法规定的其他罪行的，按前款第二项规定处理。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第三十四条　不具有香港特别行政区永久性居民身份的人实施本法规定的犯罪的，可以独立适用或者附加适用驱逐出境。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不具有香港特别行政区永久性居民身份的人违反本法规定，因任何原因不对其追究刑事责任的，也可以驱逐出境。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第三十五条　任何人经法院判决犯危害国家安全罪行的，即丧失作为候选人参加香港特别行政区举行的立法会、区议会选举或者出任香港特别行政区任何公职或者行政长官选举委员会委员的资格；曾经宣誓或者声明拥护中华人民共和国香港特别行政区基本法、效忠中华人民共和国香港特别行政区的立法会议员、政府官员及公务人员、行政会议成员、法官及其他司法人员、区议员，即时丧失该等职务，并丧失参选或者出任上述职务的资格。</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前款规定资格或者职务的丧失，由负责组织、管理有关选举或者公职任免的机构宣布。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第六节　效力范围</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第三十六条　任何人在香港特别行政区内实施本法规定的犯罪的，适用本法。犯罪的行为或者结果有一项发生在香港特别行政区内的，就认为是在香港特别行政区内犯罪。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在香港特别行政区注册的船舶或者航空器内实施本法规定的犯罪的，也适用本法。</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第三十七条　香港特别行政区永久性居民或者在香港特别行政区成立的公司、团体等法人或者非法人组织在香港特别行政区以外实施本法规定的犯罪的，适用本法。</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第三十八条　不具有香港特别行政区永久性居民身份的人在香港特别行政区以外针对香港特别行政区实施本法规定的犯罪的，适用本法。</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第三十九条　本法施行以后的行为，适用本法定罪处刑。</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第四章　案件管辖、法律适用和程序</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第四十条　香港特别行政区对本法规定的犯罪案件行使管辖权，但本法第五十五条规定的情形除外。</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第四十一条　香港特别行政区管辖危害国家安全犯罪案件的立案侦查、检控、审判和刑罚的执行等诉讼程序事宜，适用本法和香港特别行政区本地法律。</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未经律政司长书面同意，任何人不得就危害国家安全犯罪案件提出检控。但该规定不影响就有关犯罪依法逮捕犯罪嫌疑人并将其羁押，也不影响该等犯罪嫌疑人申请保释。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香港特别行政区管辖的危害国家安全犯罪案件的审判循公诉程序进行。</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审判应当公开进行。因为涉及国家秘密、公共秩序等情形不宜公开审理的，禁止新闻界和公众旁听全部或者一部分审理程序，但判决结果应当一律公开宣布。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第四十二条　香港特别行政区执法、司法机关在适用香港特别行政区现行法律有关羁押、审理期限等方面的规定时，应当确保危害国家安全犯罪案件公正、及时办理，有效防范、制止和惩治危害国家安全犯罪。</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对犯罪嫌疑人、被告人，除非法官有充足理由相信其不会继续实施危害国家安全行为的，不得准予保释。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第四十三条　香港特别行政区政府警务处维护国家安全部门办理危害国家安全犯罪案件时，可以采取香港特别行政区现行法律准予警方等执法部门在调查严重犯罪案件时采取的各种措施，并可以采取以下措施：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（一）搜查可能存有犯罪证据的处所、车辆、船只、航空器以及其他有关地方和电子设备；</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（二）要求涉嫌实施危害国家安全犯罪行为的人员交出旅行证件或者限制其离境；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（三）对用于或者意图用于犯罪的财产、因犯罪所得的收益等与犯罪相关的财产，予以冻结，申请限制令、押记令、没收令以及充公；</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（四）要求信息发布人或者有关服务商移除信息或者提供协助；</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（五）要求外国及境外政治性组织，外国及境外当局或者政治性组织的代理人提供资料；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（六）经行政长官批准，对有合理理由怀疑涉及实施危害国家安全犯罪的人员进行截取通讯和秘密监察；</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（七）对有合理理由怀疑拥有与侦查有关的资料或者管有有关物料的人员，要求其回答问题和提交资料或者物料。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香港特别行政区维护国家安全委员会对警务处维护国家安全部门等执法机构采取本条第一款规定措施负有监督责任。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授权香港特别行政区行政长官会同香港特别行政区维护国家安全委员会为采取本条第一款规定措施制定相关实施细则。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第四十四条　香港特别行政区行政长官应当从裁判官、区域法院法官、高等法院原讼法庭法官、上诉法庭法官以及终审法院法官中指定若干名法官，也可从暂委或者特委法官中指定若干名法官，负责处理危害国家安全犯罪案件。行政长官在指定法官前可征询香港特别行政区维护国家安全委员会和终审法院首席法官的意见。上述指定法官任期一年。</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凡有危害国家安全言行的，不得被指定为审理危害国家安全犯罪案件的法官。在获任指定法官期间，如有危害国家安全言行的，终止其指定法官资格。</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在裁判法院、区域法院、高等法院和终审法院就危害国家安全犯罪案件提起的刑事检控程序应当分别由各该法院的指定法官处理。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第四十五条　除本法另有规定外，裁判法院、区域法院、高等法院和终审法院应当按照香港特别行政区的其他法律处理就危害国家安全犯罪案件提起的刑事检控程序。</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第四十六条　对高等法院原讼法庭进行的就危害国家安全犯罪案件提起的刑事检控程序，律政司长可基于保护国家秘密、案件具有涉外因素或者保障陪审员及其家人的人身安全等理由，发出证书指示相关诉讼毋须在有陪审团的情况下进行审理。凡律政司长发出上述证书，高等法院原讼法庭应当在没有陪审团的情况下进行审理，并由三名法官组成审判庭。</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凡律政司长发出前款规定的证书，适用于相关诉讼的香港特别行政区任何法律条文关于“陪审团”或者“陪审团的裁决”，均应当理解为指法官或者法官作为事实裁断者的职能。</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第四十七条　香港特别行政区法院在审理案件中遇有涉及有关行为是否涉及国家安全或者有关证据材料是否涉及国家秘密的认定问题，应取得行政长官就该等问题发出的证明书，上述证明书对法院有约束力。</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第五章　中央人民政府驻香港特别行政区维护国家安全机构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第四十八条　中央人民政府在香港特别行政区设立维护国家安全公署。中央人民政府驻香港特别行政区维护国家安全公署依法履行维护国家安全职责，行使相关权力。</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驻香港特别行政区维护国家安全公署人员由中央人民政府维护国家安全的有关机关联合派出。</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第四十九条　驻香港特别行政区维护国家安全公署的职责为：</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（一）分析研判香港特别行政区维护国家安全形势，就维护国家安全重大战略和重要政策提出意见和建议；</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（二）监督、指导、协调、支持香港特别行政区履行维护国家安全的职责；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（三）收集分析国家安全情报信息；</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（四）依法办理危害国家安全犯罪案件。</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第五十条　驻香港特别行政区维护国家安全公署应当严格依法履行职责，依法接受监督，不得侵害任何个人和组织的合法权益。</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驻香港特别行政区维护国家安全公署人员除须遵守全国性法律外，还应当遵守香港特别行政区法律。</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驻香港特别行政区维护国家安全公署人员依法接受国家监察机关的监督。</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第五十一条　驻香港特别行政区维护国家安全公署的经费由中央财政保障。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第五十二条　驻香港特别行政区维护国家安全公署应当加强与中央人民政府驻香港特别行政区联络办公室、外交部驻香港特别行政区特派员公署、中国人民解放军驻香港部队的工作联系和工作协同。</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第五十三条　驻香港特别行政区维护国家安全公署应当与香港特别行政区维护国家安全委员会建立协调机制，监督、指导香港特别行政区维护国家安全工作。</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驻香港特别行政区维护国家安全公署的工作部门应当与香港特别行政区维护国家安全的有关机关建立协作机制，加强信息共享和行动配合。</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第五十四条　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第五十五条　有以下情形之一的，经香港特别行政区政府或者驻香港特别行政区维护国家安全公署提出，并报中央人民政府批准，由驻香港特别行政区维护国家安全公署对本法规定的危害国家安全犯罪案件行使管辖权：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（一）案件涉及外国或者境外势力介入的复杂情况，香港特别行政区管辖确有困难的；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（二）出现香港特别行政区政府无法有效执行本法的严重情况的；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（三）出现国家安全面临重大现实威胁的情况的。</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第五十六条　根据本法第五十五条规定管辖有关危害国家安全犯罪案件时，由驻香港特别行政区维护国家安全公署负责立案侦查，最高人民检察院指定有关检察机关行使检察权，最高人民法院指定有关法院行使审判权。</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第五十七条　根据本法第五十五条规定管辖案件的立案侦查、审查起诉、审判和刑罚的执行等诉讼程序事宜，适用《中华人民共和国刑事诉讼法》等相关法律的规定。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第五十八条　根据本法第五十五条规定管辖案件时，犯罪嫌疑人自被驻香港特别行政区维护国家安全公署第一次讯问或者采取强制措施之日起，有权委托律师作为辩护人。辩护律师可以依法为犯罪嫌疑人、被告人提供法律帮助。</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犯罪嫌疑人、被告人被合法拘捕后，享有尽早接受司法机关公正审判的权利。</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第五十九条　根据本法第五十五条规定管辖案件时，任何人如果知道本法规定的危害国家安全犯罪案件情况，都有如实作证的义务。</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第六十条　驻香港特别行政区维护国家安全公署及其人员依据本法执行职务的行为，不受香港特别行政区管辖。</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持有驻香港特别行政区维护国家安全公署制发的证件或者证明文件的人员和车辆等在执行职务时不受香港特别行政区执法人员检查、搜查和扣押。</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驻香港特别行政区维护国家安全公署及其人员享有香港特别行政区法律规定的其他权利和豁免。</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第六十一条　驻香港特别行政区维护国家安全公署依据本法规定履行职责时，香港特别行政区政府有关部门须提供必要的便利和配合，对妨碍有关执行职务的行为依法予以制止并追究责任。</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第六章　附则</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第六十二条　香港特别行政区本地法律规定与本法不一致的，适用本法规定。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第六十三条　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担任辩护人或者诉讼代理人的律师应当保守在执业活动中知悉的国家秘密、商业秘密和个人隐私。</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配合办案的有关机构、组织和个人应当对案件有关情况予以保密。</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第六十四条　香港特别行政区适用本法时，本法规定的“有期徒刑”“无期徒刑”“没收财产”和“罚金”分别指“监禁”“终身监禁”“充公犯罪所得”和“罚款”，“拘役”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第六十五条　本法的解释权属于全国人民代表大会常务委员会。</w:t>
      </w:r>
    </w:p>
    <w:p w:rsidR="001B4453" w:rsidRPr="001B4453" w:rsidRDefault="001B4453" w:rsidP="001B4453">
      <w:pPr>
        <w:widowControl/>
        <w:spacing w:before="100" w:beforeAutospacing="1" w:after="100" w:afterAutospacing="1"/>
        <w:jc w:val="left"/>
        <w:rPr>
          <w:rFonts w:ascii="宋体" w:eastAsia="宋体" w:hAnsi="宋体" w:cs="宋体"/>
          <w:kern w:val="0"/>
          <w:sz w:val="24"/>
          <w:szCs w:val="24"/>
        </w:rPr>
      </w:pPr>
      <w:r w:rsidRPr="001B4453">
        <w:rPr>
          <w:rFonts w:ascii="宋体" w:eastAsia="宋体" w:hAnsi="宋体" w:cs="宋体"/>
          <w:kern w:val="0"/>
          <w:sz w:val="24"/>
          <w:szCs w:val="24"/>
        </w:rPr>
        <w:t>第六十六条　本法自公布之日起施行。</w:t>
      </w:r>
    </w:p>
    <w:p w:rsidR="00750C53" w:rsidRDefault="00750C53">
      <w:bookmarkStart w:id="0" w:name="_GoBack"/>
      <w:bookmarkEnd w:id="0"/>
    </w:p>
    <w:sectPr w:rsidR="00750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1D"/>
    <w:rsid w:val="001B4453"/>
    <w:rsid w:val="00750C53"/>
    <w:rsid w:val="00F7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41335">
      <w:bodyDiv w:val="1"/>
      <w:marLeft w:val="0"/>
      <w:marRight w:val="0"/>
      <w:marTop w:val="0"/>
      <w:marBottom w:val="0"/>
      <w:divBdr>
        <w:top w:val="none" w:sz="0" w:space="0" w:color="auto"/>
        <w:left w:val="none" w:sz="0" w:space="0" w:color="auto"/>
        <w:bottom w:val="none" w:sz="0" w:space="0" w:color="auto"/>
        <w:right w:val="none" w:sz="0" w:space="0" w:color="auto"/>
      </w:divBdr>
      <w:divsChild>
        <w:div w:id="1480927050">
          <w:marLeft w:val="0"/>
          <w:marRight w:val="0"/>
          <w:marTop w:val="0"/>
          <w:marBottom w:val="0"/>
          <w:divBdr>
            <w:top w:val="none" w:sz="0" w:space="0" w:color="auto"/>
            <w:left w:val="none" w:sz="0" w:space="0" w:color="auto"/>
            <w:bottom w:val="none" w:sz="0" w:space="0" w:color="auto"/>
            <w:right w:val="none" w:sz="0" w:space="0" w:color="auto"/>
          </w:divBdr>
          <w:divsChild>
            <w:div w:id="1663771489">
              <w:marLeft w:val="0"/>
              <w:marRight w:val="0"/>
              <w:marTop w:val="0"/>
              <w:marBottom w:val="0"/>
              <w:divBdr>
                <w:top w:val="none" w:sz="0" w:space="0" w:color="auto"/>
                <w:left w:val="none" w:sz="0" w:space="0" w:color="auto"/>
                <w:bottom w:val="none" w:sz="0" w:space="0" w:color="auto"/>
                <w:right w:val="none" w:sz="0" w:space="0" w:color="auto"/>
              </w:divBdr>
            </w:div>
          </w:divsChild>
        </w:div>
        <w:div w:id="119237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2</cp:revision>
  <dcterms:created xsi:type="dcterms:W3CDTF">2020-12-19T03:56:00Z</dcterms:created>
  <dcterms:modified xsi:type="dcterms:W3CDTF">2020-12-19T03:57:00Z</dcterms:modified>
</cp:coreProperties>
</file>