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DC" w:rsidRDefault="00D0004C">
      <w:r>
        <w:pict>
          <v:shapetype id="_x0000_t202" coordsize="21600,21600" o:spt="202" path="m,l,21600r21600,l21600,xe">
            <v:stroke joinstyle="miter"/>
            <v:path gradientshapeok="t" o:connecttype="rect"/>
          </v:shapetype>
          <v:shape id="Text Box 2" o:spid="_x0000_s2050" type="#_x0000_t202" style="position:absolute;left:0;text-align:left;margin-left:279pt;margin-top:5.4pt;width:119.95pt;height:39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">
            <v:textbox>
              <w:txbxContent>
                <w:p w:rsidR="006945DC" w:rsidRDefault="00953FCF">
                  <w:pPr>
                    <w:rPr>
                      <w:b/>
                      <w:sz w:val="30"/>
                      <w:szCs w:val="30"/>
                    </w:rPr>
                  </w:pPr>
                  <w:r>
                    <w:rPr>
                      <w:rFonts w:hint="eastAsia"/>
                      <w:b/>
                      <w:sz w:val="30"/>
                      <w:szCs w:val="30"/>
                    </w:rPr>
                    <w:t>成绩：</w:t>
                  </w:r>
                </w:p>
              </w:txbxContent>
            </v:textbox>
          </v:shape>
        </w:pict>
      </w:r>
    </w:p>
    <w:p w:rsidR="006945DC" w:rsidRDefault="006945DC"/>
    <w:p w:rsidR="006945DC" w:rsidRDefault="00953FCF">
      <w:r>
        <w:rPr>
          <w:noProof/>
        </w:rP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3286125" cy="1104900"/>
                    </a:xfrm>
                    <a:prstGeom prst="rect">
                      <a:avLst/>
                    </a:prstGeom>
                    <a:noFill/>
                    <a:ln w="9525">
                      <a:noFill/>
                      <a:miter lim="800000"/>
                      <a:headEnd/>
                      <a:tailEnd/>
                    </a:ln>
                  </pic:spPr>
                </pic:pic>
              </a:graphicData>
            </a:graphic>
          </wp:inline>
        </w:drawing>
      </w:r>
    </w:p>
    <w:p w:rsidR="006945DC" w:rsidRDefault="006945DC"/>
    <w:p w:rsidR="006945DC" w:rsidRDefault="00953FCF">
      <w:r>
        <w:t xml:space="preserve">                                </w:t>
      </w:r>
    </w:p>
    <w:p w:rsidR="006945DC" w:rsidRDefault="00953FCF">
      <w:r>
        <w:t xml:space="preserve">                                                     </w:t>
      </w:r>
    </w:p>
    <w:p w:rsidR="006945DC" w:rsidRDefault="006945DC"/>
    <w:p w:rsidR="006945DC" w:rsidRDefault="006945DC"/>
    <w:p w:rsidR="006945DC" w:rsidRDefault="006945DC"/>
    <w:p w:rsidR="006945DC" w:rsidRDefault="006945DC"/>
    <w:p w:rsidR="006945DC" w:rsidRDefault="00953FCF">
      <w:pPr>
        <w:jc w:val="center"/>
        <w:rPr>
          <w:rFonts w:ascii="黑体" w:eastAsia="黑体" w:hAnsi="黑体" w:cs="黑体"/>
          <w:b/>
          <w:bCs/>
          <w:kern w:val="144"/>
          <w:sz w:val="52"/>
          <w:szCs w:val="52"/>
        </w:rPr>
      </w:pPr>
      <w:r>
        <w:rPr>
          <w:rFonts w:ascii="黑体" w:eastAsia="黑体" w:hAnsi="黑体" w:cs="黑体" w:hint="eastAsia"/>
          <w:b/>
          <w:bCs/>
          <w:kern w:val="144"/>
          <w:sz w:val="52"/>
          <w:szCs w:val="52"/>
        </w:rPr>
        <w:t>私立华联学院</w:t>
      </w:r>
    </w:p>
    <w:p w:rsidR="006945DC" w:rsidRDefault="00953FCF">
      <w:pPr>
        <w:jc w:val="center"/>
        <w:rPr>
          <w:rFonts w:ascii="黑体" w:eastAsia="黑体" w:hAnsi="黑体" w:cs="黑体"/>
          <w:b/>
          <w:bCs/>
          <w:spacing w:val="120"/>
          <w:kern w:val="144"/>
          <w:sz w:val="52"/>
          <w:szCs w:val="52"/>
        </w:rPr>
      </w:pPr>
      <w:r>
        <w:rPr>
          <w:rFonts w:ascii="黑体" w:eastAsia="黑体" w:hAnsi="黑体" w:cs="黑体" w:hint="eastAsia"/>
          <w:b/>
          <w:bCs/>
          <w:kern w:val="144"/>
          <w:sz w:val="52"/>
          <w:szCs w:val="52"/>
        </w:rPr>
        <w:t>假期学生社会实践调查报告</w:t>
      </w:r>
    </w:p>
    <w:p w:rsidR="006945DC" w:rsidRDefault="006945DC"/>
    <w:p w:rsidR="006945DC" w:rsidRDefault="006945DC"/>
    <w:p w:rsidR="006945DC" w:rsidRDefault="006945DC"/>
    <w:p w:rsidR="006945DC" w:rsidRDefault="006945DC"/>
    <w:p w:rsidR="006945DC" w:rsidRDefault="006945DC"/>
    <w:p w:rsidR="006945DC" w:rsidRDefault="006945DC">
      <w:pPr>
        <w:ind w:firstLineChars="700" w:firstLine="1470"/>
      </w:pPr>
    </w:p>
    <w:p w:rsidR="006945DC" w:rsidRDefault="00953FCF">
      <w:pPr>
        <w:ind w:firstLineChars="700" w:firstLine="1968"/>
        <w:rPr>
          <w:sz w:val="28"/>
          <w:szCs w:val="28"/>
          <w:u w:val="single"/>
        </w:rPr>
      </w:pPr>
      <w:r>
        <w:rPr>
          <w:rFonts w:cs="宋体" w:hint="eastAsia"/>
          <w:b/>
          <w:bCs/>
          <w:sz w:val="28"/>
          <w:szCs w:val="28"/>
        </w:rPr>
        <w:t>课程名称：</w:t>
      </w:r>
      <w:r>
        <w:rPr>
          <w:b/>
          <w:bCs/>
          <w:sz w:val="28"/>
          <w:szCs w:val="28"/>
          <w:u w:val="single"/>
        </w:rPr>
        <w:t xml:space="preserve">      </w:t>
      </w:r>
      <w:r>
        <w:rPr>
          <w:rFonts w:hint="eastAsia"/>
          <w:sz w:val="28"/>
          <w:szCs w:val="28"/>
          <w:u w:val="single"/>
        </w:rPr>
        <w:t>思想道德修养与法律基础</w:t>
      </w:r>
      <w:r>
        <w:rPr>
          <w:sz w:val="28"/>
          <w:szCs w:val="28"/>
          <w:u w:val="single"/>
        </w:rPr>
        <w:t xml:space="preserve">     </w:t>
      </w:r>
    </w:p>
    <w:p w:rsidR="006945DC" w:rsidRDefault="00953FCF">
      <w:pPr>
        <w:ind w:firstLineChars="700" w:firstLine="1968"/>
        <w:rPr>
          <w:sz w:val="28"/>
          <w:szCs w:val="28"/>
          <w:u w:val="single"/>
        </w:rPr>
      </w:pPr>
      <w:r>
        <w:rPr>
          <w:rFonts w:cs="宋体" w:hint="eastAsia"/>
          <w:b/>
          <w:bCs/>
          <w:sz w:val="28"/>
          <w:szCs w:val="28"/>
        </w:rPr>
        <w:t>调查报告题目：</w:t>
      </w:r>
      <w:r>
        <w:rPr>
          <w:rFonts w:hint="eastAsia"/>
          <w:sz w:val="28"/>
          <w:szCs w:val="28"/>
          <w:u w:val="single"/>
        </w:rPr>
        <w:t>调查共和花园本土养老情况</w:t>
      </w:r>
      <w:r>
        <w:rPr>
          <w:sz w:val="28"/>
          <w:szCs w:val="28"/>
          <w:u w:val="single"/>
        </w:rPr>
        <w:t xml:space="preserve"> </w:t>
      </w:r>
    </w:p>
    <w:p w:rsidR="006945DC" w:rsidRDefault="00953FCF">
      <w:pPr>
        <w:ind w:firstLineChars="700" w:firstLine="1968"/>
        <w:rPr>
          <w:rFonts w:ascii="仿宋_GB2312" w:cs="仿宋_GB2312"/>
          <w:b/>
          <w:bCs/>
          <w:sz w:val="28"/>
          <w:szCs w:val="28"/>
          <w:u w:val="single"/>
        </w:rPr>
      </w:pPr>
      <w:r>
        <w:rPr>
          <w:rFonts w:cs="宋体" w:hint="eastAsia"/>
          <w:b/>
          <w:bCs/>
          <w:sz w:val="28"/>
          <w:szCs w:val="28"/>
        </w:rPr>
        <w:t>指导教师：</w:t>
      </w:r>
      <w:r>
        <w:rPr>
          <w:rFonts w:ascii="仿宋_GB2312" w:cs="仿宋_GB2312"/>
          <w:b/>
          <w:bCs/>
          <w:sz w:val="28"/>
          <w:szCs w:val="28"/>
          <w:u w:val="single"/>
        </w:rPr>
        <w:t xml:space="preserve">      </w:t>
      </w:r>
      <w:r>
        <w:rPr>
          <w:rFonts w:ascii="仿宋_GB2312" w:cs="仿宋_GB2312" w:hint="eastAsia"/>
          <w:b/>
          <w:bCs/>
          <w:sz w:val="28"/>
          <w:szCs w:val="28"/>
          <w:u w:val="single"/>
        </w:rPr>
        <w:t>常青</w:t>
      </w:r>
      <w:r>
        <w:rPr>
          <w:rFonts w:ascii="仿宋_GB2312" w:cs="仿宋_GB2312"/>
          <w:b/>
          <w:bCs/>
          <w:sz w:val="28"/>
          <w:szCs w:val="28"/>
          <w:u w:val="single"/>
        </w:rPr>
        <w:t xml:space="preserve">             </w:t>
      </w:r>
    </w:p>
    <w:p w:rsidR="006945DC" w:rsidRDefault="00953FCF">
      <w:pPr>
        <w:ind w:firstLineChars="700" w:firstLine="1968"/>
        <w:rPr>
          <w:sz w:val="28"/>
          <w:szCs w:val="28"/>
          <w:u w:val="single"/>
        </w:rPr>
      </w:pPr>
      <w:r>
        <w:rPr>
          <w:rFonts w:ascii="仿宋_GB2312" w:cs="宋体" w:hint="eastAsia"/>
          <w:b/>
          <w:bCs/>
          <w:sz w:val="28"/>
          <w:szCs w:val="28"/>
        </w:rPr>
        <w:t>专业</w:t>
      </w:r>
      <w:r>
        <w:rPr>
          <w:rFonts w:cs="宋体" w:hint="eastAsia"/>
          <w:b/>
          <w:bCs/>
          <w:sz w:val="28"/>
          <w:szCs w:val="28"/>
        </w:rPr>
        <w:t>班级</w:t>
      </w:r>
      <w:r>
        <w:rPr>
          <w:rFonts w:ascii="仿宋_GB2312" w:cs="宋体" w:hint="eastAsia"/>
          <w:b/>
          <w:bCs/>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rPr>
        <w:t>网络三班</w:t>
      </w:r>
      <w:r>
        <w:rPr>
          <w:rFonts w:hint="eastAsia"/>
          <w:sz w:val="28"/>
          <w:szCs w:val="28"/>
          <w:u w:val="single"/>
        </w:rPr>
        <w:t xml:space="preserve">    </w:t>
      </w:r>
      <w:r>
        <w:rPr>
          <w:sz w:val="28"/>
          <w:szCs w:val="28"/>
          <w:u w:val="single"/>
        </w:rPr>
        <w:t xml:space="preserve">     </w:t>
      </w:r>
    </w:p>
    <w:p w:rsidR="006945DC" w:rsidRDefault="00953FCF">
      <w:pPr>
        <w:ind w:firstLineChars="717" w:firstLine="2015"/>
        <w:rPr>
          <w:b/>
          <w:bCs/>
          <w:sz w:val="28"/>
          <w:szCs w:val="28"/>
          <w:u w:val="single"/>
        </w:rPr>
      </w:pPr>
      <w:r>
        <w:rPr>
          <w:rFonts w:cs="宋体" w:hint="eastAsia"/>
          <w:b/>
          <w:bCs/>
          <w:sz w:val="28"/>
          <w:szCs w:val="28"/>
        </w:rPr>
        <w:t>学</w:t>
      </w:r>
      <w:r>
        <w:rPr>
          <w:b/>
          <w:bCs/>
          <w:sz w:val="28"/>
          <w:szCs w:val="28"/>
        </w:rPr>
        <w:t xml:space="preserve">    </w:t>
      </w:r>
      <w:r>
        <w:rPr>
          <w:rFonts w:cs="宋体" w:hint="eastAsia"/>
          <w:b/>
          <w:bCs/>
          <w:sz w:val="28"/>
          <w:szCs w:val="28"/>
        </w:rPr>
        <w:t>号：</w:t>
      </w:r>
      <w:r>
        <w:rPr>
          <w:sz w:val="28"/>
          <w:szCs w:val="28"/>
          <w:u w:val="single"/>
        </w:rPr>
        <w:t xml:space="preserve">  0101</w:t>
      </w:r>
      <w:r>
        <w:rPr>
          <w:rFonts w:hint="eastAsia"/>
          <w:sz w:val="28"/>
          <w:szCs w:val="28"/>
          <w:u w:val="single"/>
        </w:rPr>
        <w:t>21033</w:t>
      </w:r>
      <w:r>
        <w:rPr>
          <w:sz w:val="28"/>
          <w:szCs w:val="28"/>
          <w:u w:val="single"/>
        </w:rPr>
        <w:t xml:space="preserve">1        </w:t>
      </w:r>
    </w:p>
    <w:p w:rsidR="006945DC" w:rsidRDefault="00953FCF">
      <w:pPr>
        <w:ind w:firstLineChars="717" w:firstLine="2015"/>
        <w:rPr>
          <w:sz w:val="28"/>
          <w:szCs w:val="28"/>
          <w:u w:val="single"/>
        </w:rPr>
      </w:pPr>
      <w:r>
        <w:rPr>
          <w:rFonts w:cs="宋体" w:hint="eastAsia"/>
          <w:b/>
          <w:bCs/>
          <w:sz w:val="28"/>
          <w:szCs w:val="28"/>
        </w:rPr>
        <w:t>姓</w:t>
      </w:r>
      <w:r>
        <w:rPr>
          <w:b/>
          <w:bCs/>
          <w:sz w:val="28"/>
          <w:szCs w:val="28"/>
        </w:rPr>
        <w:t xml:space="preserve">    </w:t>
      </w:r>
      <w:r>
        <w:rPr>
          <w:rFonts w:cs="宋体" w:hint="eastAsia"/>
          <w:b/>
          <w:bCs/>
          <w:sz w:val="28"/>
          <w:szCs w:val="28"/>
        </w:rPr>
        <w:t>名：</w:t>
      </w:r>
      <w:r>
        <w:rPr>
          <w:sz w:val="28"/>
          <w:szCs w:val="28"/>
          <w:u w:val="single"/>
        </w:rPr>
        <w:t xml:space="preserve">    </w:t>
      </w:r>
      <w:r>
        <w:rPr>
          <w:rFonts w:hint="eastAsia"/>
          <w:sz w:val="28"/>
          <w:szCs w:val="28"/>
          <w:u w:val="single"/>
        </w:rPr>
        <w:t>卓秀珊</w:t>
      </w:r>
      <w:r>
        <w:rPr>
          <w:sz w:val="28"/>
          <w:szCs w:val="28"/>
          <w:u w:val="single"/>
        </w:rPr>
        <w:t xml:space="preserve">           </w:t>
      </w:r>
    </w:p>
    <w:p w:rsidR="006945DC" w:rsidRDefault="00953FCF">
      <w:pPr>
        <w:ind w:firstLineChars="717" w:firstLine="2015"/>
        <w:rPr>
          <w:sz w:val="24"/>
        </w:rPr>
      </w:pPr>
      <w:r>
        <w:rPr>
          <w:rFonts w:cs="宋体" w:hint="eastAsia"/>
          <w:b/>
          <w:bCs/>
          <w:sz w:val="28"/>
          <w:szCs w:val="28"/>
        </w:rPr>
        <w:t>提交日期：</w:t>
      </w:r>
      <w:r w:rsidR="00C24F3D">
        <w:rPr>
          <w:sz w:val="28"/>
          <w:szCs w:val="28"/>
          <w:u w:val="single"/>
        </w:rPr>
        <w:t xml:space="preserve"> </w:t>
      </w:r>
      <w:r>
        <w:rPr>
          <w:sz w:val="28"/>
          <w:szCs w:val="28"/>
          <w:u w:val="single"/>
        </w:rPr>
        <w:t xml:space="preserve">  </w:t>
      </w:r>
      <w:r>
        <w:rPr>
          <w:rFonts w:hint="eastAsia"/>
          <w:sz w:val="28"/>
          <w:szCs w:val="28"/>
          <w:u w:val="single"/>
        </w:rPr>
        <w:t>2022</w:t>
      </w:r>
      <w:r>
        <w:rPr>
          <w:rFonts w:hint="eastAsia"/>
          <w:sz w:val="28"/>
          <w:szCs w:val="28"/>
          <w:u w:val="single"/>
        </w:rPr>
        <w:t>年</w:t>
      </w:r>
      <w:r>
        <w:rPr>
          <w:rFonts w:hint="eastAsia"/>
          <w:sz w:val="28"/>
          <w:szCs w:val="28"/>
          <w:u w:val="single"/>
        </w:rPr>
        <w:t>2</w:t>
      </w:r>
      <w:r>
        <w:rPr>
          <w:rFonts w:hint="eastAsia"/>
          <w:sz w:val="28"/>
          <w:szCs w:val="28"/>
          <w:u w:val="single"/>
        </w:rPr>
        <w:t>月</w:t>
      </w:r>
      <w:r>
        <w:rPr>
          <w:rFonts w:hint="eastAsia"/>
          <w:sz w:val="28"/>
          <w:szCs w:val="28"/>
          <w:u w:val="single"/>
        </w:rPr>
        <w:t>20</w:t>
      </w:r>
      <w:r>
        <w:rPr>
          <w:rFonts w:hint="eastAsia"/>
          <w:sz w:val="28"/>
          <w:szCs w:val="28"/>
          <w:u w:val="single"/>
        </w:rPr>
        <w:t>日</w:t>
      </w:r>
      <w:r w:rsidR="00C24F3D">
        <w:rPr>
          <w:sz w:val="28"/>
          <w:szCs w:val="28"/>
          <w:u w:val="single"/>
        </w:rPr>
        <w:t xml:space="preserve">  </w:t>
      </w:r>
      <w:r>
        <w:rPr>
          <w:sz w:val="28"/>
          <w:szCs w:val="28"/>
          <w:u w:val="single"/>
        </w:rPr>
        <w:t xml:space="preserve"> </w:t>
      </w:r>
    </w:p>
    <w:p w:rsidR="006945DC" w:rsidRDefault="006945DC">
      <w:pPr>
        <w:jc w:val="center"/>
        <w:rPr>
          <w:sz w:val="24"/>
        </w:rPr>
      </w:pPr>
    </w:p>
    <w:p w:rsidR="006945DC" w:rsidRDefault="00953FCF">
      <w:pPr>
        <w:rPr>
          <w:sz w:val="24"/>
        </w:rPr>
      </w:pPr>
      <w:r>
        <w:rPr>
          <w:sz w:val="24"/>
        </w:rPr>
        <w:t xml:space="preserve">  </w:t>
      </w:r>
    </w:p>
    <w:p w:rsidR="006945DC" w:rsidRDefault="006945DC">
      <w:pPr>
        <w:rPr>
          <w:sz w:val="24"/>
        </w:rPr>
      </w:pPr>
    </w:p>
    <w:p w:rsidR="006945DC" w:rsidRDefault="006945DC">
      <w:pPr>
        <w:ind w:firstLine="900"/>
        <w:jc w:val="center"/>
        <w:rPr>
          <w:sz w:val="24"/>
        </w:rPr>
      </w:pPr>
    </w:p>
    <w:p w:rsidR="006945DC" w:rsidRDefault="006945DC">
      <w:pPr>
        <w:pStyle w:val="a3"/>
        <w:tabs>
          <w:tab w:val="left" w:pos="2100"/>
        </w:tabs>
        <w:jc w:val="center"/>
        <w:rPr>
          <w:rFonts w:cs="宋体"/>
          <w:b/>
          <w:bCs/>
          <w:spacing w:val="10"/>
          <w:sz w:val="36"/>
          <w:szCs w:val="36"/>
        </w:rPr>
      </w:pPr>
    </w:p>
    <w:p w:rsidR="006945DC" w:rsidRDefault="00953FCF">
      <w:pPr>
        <w:pStyle w:val="a3"/>
        <w:tabs>
          <w:tab w:val="left" w:pos="2100"/>
        </w:tabs>
        <w:jc w:val="center"/>
        <w:rPr>
          <w:b/>
          <w:bCs/>
          <w:spacing w:val="10"/>
          <w:sz w:val="36"/>
          <w:szCs w:val="36"/>
        </w:rPr>
      </w:pPr>
      <w:r>
        <w:rPr>
          <w:rFonts w:cs="宋体" w:hint="eastAsia"/>
          <w:b/>
          <w:bCs/>
          <w:spacing w:val="10"/>
          <w:sz w:val="36"/>
          <w:szCs w:val="36"/>
        </w:rPr>
        <w:t>目</w:t>
      </w:r>
      <w:r>
        <w:rPr>
          <w:b/>
          <w:bCs/>
          <w:spacing w:val="10"/>
          <w:sz w:val="36"/>
          <w:szCs w:val="36"/>
        </w:rPr>
        <w:t xml:space="preserve"> </w:t>
      </w:r>
      <w:r>
        <w:rPr>
          <w:rFonts w:cs="宋体" w:hint="eastAsia"/>
          <w:b/>
          <w:bCs/>
          <w:spacing w:val="10"/>
          <w:sz w:val="36"/>
          <w:szCs w:val="36"/>
        </w:rPr>
        <w:t>录</w:t>
      </w:r>
    </w:p>
    <w:p w:rsidR="006945DC" w:rsidRDefault="006945DC" w:rsidP="00B53972">
      <w:pPr>
        <w:pStyle w:val="a3"/>
        <w:tabs>
          <w:tab w:val="left" w:pos="2100"/>
        </w:tabs>
        <w:spacing w:afterLines="50" w:line="400" w:lineRule="exact"/>
        <w:rPr>
          <w:rFonts w:ascii="宋体" w:hAnsi="宋体" w:cs="宋体"/>
          <w:spacing w:val="10"/>
          <w:sz w:val="24"/>
          <w:szCs w:val="24"/>
        </w:rPr>
      </w:pPr>
    </w:p>
    <w:p w:rsidR="006945DC" w:rsidRDefault="006945DC" w:rsidP="00B53972">
      <w:pPr>
        <w:pStyle w:val="a3"/>
        <w:tabs>
          <w:tab w:val="left" w:pos="2100"/>
        </w:tabs>
        <w:spacing w:afterLines="50" w:line="400" w:lineRule="exact"/>
        <w:rPr>
          <w:rFonts w:ascii="宋体" w:hAnsi="宋体" w:cs="宋体"/>
          <w:spacing w:val="10"/>
          <w:sz w:val="24"/>
          <w:szCs w:val="24"/>
        </w:rPr>
      </w:pPr>
    </w:p>
    <w:p w:rsidR="006945DC" w:rsidRDefault="00953FCF" w:rsidP="00B53972">
      <w:pPr>
        <w:pStyle w:val="a3"/>
        <w:tabs>
          <w:tab w:val="left" w:pos="2100"/>
        </w:tabs>
        <w:spacing w:afterLines="50" w:line="400" w:lineRule="exact"/>
        <w:rPr>
          <w:rFonts w:ascii="宋体" w:hAnsi="宋体" w:cs="宋体"/>
          <w:spacing w:val="10"/>
          <w:sz w:val="24"/>
          <w:szCs w:val="24"/>
          <w:lang w:val="fr-FR"/>
        </w:rPr>
      </w:pPr>
      <w:r>
        <w:rPr>
          <w:rFonts w:ascii="宋体" w:hAnsi="宋体" w:cs="宋体" w:hint="eastAsia"/>
          <w:spacing w:val="10"/>
          <w:sz w:val="24"/>
          <w:szCs w:val="24"/>
        </w:rPr>
        <w:t>一、调查背景及目的······································</w:t>
      </w:r>
      <w:r>
        <w:rPr>
          <w:rFonts w:ascii="宋体" w:hAnsi="宋体" w:cs="宋体"/>
          <w:spacing w:val="10"/>
          <w:sz w:val="24"/>
          <w:szCs w:val="24"/>
          <w:lang w:val="fr-FR"/>
        </w:rPr>
        <w:t>1</w:t>
      </w:r>
    </w:p>
    <w:p w:rsidR="006945DC" w:rsidRDefault="00953FCF" w:rsidP="00B53972">
      <w:pPr>
        <w:pStyle w:val="a3"/>
        <w:tabs>
          <w:tab w:val="left" w:pos="2100"/>
        </w:tabs>
        <w:spacing w:afterLines="50" w:line="400" w:lineRule="exact"/>
        <w:rPr>
          <w:rFonts w:ascii="宋体" w:hAnsi="宋体" w:cs="宋体"/>
          <w:spacing w:val="10"/>
          <w:sz w:val="24"/>
          <w:szCs w:val="24"/>
          <w:lang w:val="fr-FR"/>
        </w:rPr>
      </w:pPr>
      <w:r>
        <w:rPr>
          <w:rFonts w:ascii="宋体" w:hAnsi="宋体" w:cs="宋体" w:hint="eastAsia"/>
          <w:spacing w:val="10"/>
          <w:sz w:val="24"/>
          <w:szCs w:val="24"/>
        </w:rPr>
        <w:t xml:space="preserve">二、调查内容 </w:t>
      </w:r>
      <w:r>
        <w:rPr>
          <w:rFonts w:ascii="宋体" w:hAnsi="宋体" w:cs="宋体"/>
          <w:spacing w:val="10"/>
          <w:sz w:val="24"/>
          <w:szCs w:val="24"/>
        </w:rPr>
        <w:t xml:space="preserve"> </w:t>
      </w:r>
      <w:r>
        <w:rPr>
          <w:rFonts w:ascii="宋体" w:hAnsi="宋体" w:cs="宋体" w:hint="eastAsia"/>
          <w:spacing w:val="10"/>
          <w:sz w:val="24"/>
          <w:szCs w:val="24"/>
          <w:lang w:val="fr-FR"/>
        </w:rPr>
        <w:t>············································</w:t>
      </w:r>
      <w:r w:rsidR="00FE7073">
        <w:rPr>
          <w:rFonts w:ascii="宋体" w:hAnsi="宋体" w:cs="宋体" w:hint="eastAsia"/>
          <w:spacing w:val="10"/>
          <w:sz w:val="24"/>
          <w:szCs w:val="24"/>
          <w:lang w:val="fr-FR"/>
        </w:rPr>
        <w:t>1</w:t>
      </w:r>
    </w:p>
    <w:p w:rsidR="006945DC" w:rsidRDefault="00953FCF" w:rsidP="00B53972">
      <w:pPr>
        <w:pStyle w:val="a3"/>
        <w:tabs>
          <w:tab w:val="left" w:pos="2100"/>
        </w:tabs>
        <w:spacing w:afterLines="50" w:line="400" w:lineRule="exact"/>
        <w:rPr>
          <w:rFonts w:ascii="宋体" w:hAnsi="宋体" w:cs="宋体"/>
          <w:spacing w:val="10"/>
          <w:sz w:val="24"/>
          <w:szCs w:val="24"/>
        </w:rPr>
      </w:pPr>
      <w:r>
        <w:rPr>
          <w:rFonts w:ascii="宋体" w:hAnsi="宋体" w:cs="宋体" w:hint="eastAsia"/>
          <w:spacing w:val="10"/>
          <w:sz w:val="24"/>
          <w:szCs w:val="24"/>
        </w:rPr>
        <w:t>三、调查方式</w:t>
      </w:r>
      <w:r>
        <w:rPr>
          <w:rFonts w:ascii="宋体" w:hAnsi="宋体" w:cs="宋体" w:hint="eastAsia"/>
          <w:spacing w:val="10"/>
          <w:sz w:val="24"/>
          <w:szCs w:val="24"/>
          <w:lang w:val="fr-FR"/>
        </w:rPr>
        <w:t>············································</w:t>
      </w:r>
      <w:r w:rsidR="00FE7073">
        <w:rPr>
          <w:rFonts w:ascii="宋体" w:hAnsi="宋体" w:cs="宋体" w:hint="eastAsia"/>
          <w:spacing w:val="10"/>
          <w:sz w:val="24"/>
          <w:szCs w:val="24"/>
          <w:lang w:val="fr-FR"/>
        </w:rPr>
        <w:t>1</w:t>
      </w:r>
    </w:p>
    <w:p w:rsidR="006945DC" w:rsidRDefault="00953FCF" w:rsidP="00B53972">
      <w:pPr>
        <w:pStyle w:val="a3"/>
        <w:tabs>
          <w:tab w:val="left" w:pos="2100"/>
        </w:tabs>
        <w:spacing w:afterLines="50" w:line="400" w:lineRule="exact"/>
        <w:rPr>
          <w:rFonts w:ascii="宋体" w:hAnsi="宋体" w:cs="宋体"/>
          <w:spacing w:val="10"/>
          <w:sz w:val="24"/>
          <w:szCs w:val="24"/>
          <w:lang w:val="fr-FR"/>
        </w:rPr>
      </w:pPr>
      <w:r>
        <w:rPr>
          <w:rFonts w:ascii="宋体" w:hAnsi="宋体" w:cs="宋体" w:hint="eastAsia"/>
          <w:spacing w:val="10"/>
          <w:sz w:val="24"/>
          <w:szCs w:val="24"/>
        </w:rPr>
        <w:t>四、调查数据分析</w:t>
      </w:r>
      <w:r>
        <w:rPr>
          <w:rFonts w:ascii="宋体" w:hAnsi="宋体" w:cs="宋体" w:hint="eastAsia"/>
          <w:spacing w:val="10"/>
          <w:sz w:val="24"/>
          <w:szCs w:val="24"/>
          <w:lang w:val="fr-FR"/>
        </w:rPr>
        <w:t>·····································</w:t>
      </w:r>
      <w:r w:rsidR="00FE7073">
        <w:rPr>
          <w:rFonts w:ascii="宋体" w:hAnsi="宋体" w:cs="宋体" w:hint="eastAsia"/>
          <w:spacing w:val="10"/>
          <w:sz w:val="24"/>
          <w:szCs w:val="24"/>
          <w:lang w:val="fr-FR"/>
        </w:rPr>
        <w:t>1</w:t>
      </w:r>
    </w:p>
    <w:p w:rsidR="006945DC" w:rsidRDefault="00953FCF" w:rsidP="00B53972">
      <w:pPr>
        <w:pStyle w:val="a3"/>
        <w:tabs>
          <w:tab w:val="left" w:pos="2100"/>
        </w:tabs>
        <w:spacing w:afterLines="50" w:line="400" w:lineRule="exact"/>
        <w:rPr>
          <w:rFonts w:ascii="宋体" w:hAnsi="宋体" w:cs="宋体"/>
          <w:spacing w:val="10"/>
          <w:sz w:val="24"/>
          <w:szCs w:val="24"/>
          <w:lang w:val="fr-FR"/>
        </w:rPr>
      </w:pPr>
      <w:r>
        <w:rPr>
          <w:rFonts w:ascii="宋体" w:hAnsi="宋体" w:cs="宋体" w:hint="eastAsia"/>
          <w:spacing w:val="10"/>
          <w:sz w:val="24"/>
          <w:szCs w:val="24"/>
          <w:lang w:val="fr-FR"/>
        </w:rPr>
        <w:t>五、问题分析······························</w:t>
      </w:r>
      <w:bookmarkStart w:id="0" w:name="_GoBack"/>
      <w:bookmarkEnd w:id="0"/>
      <w:r w:rsidR="00B53972">
        <w:rPr>
          <w:rFonts w:ascii="宋体" w:hAnsi="宋体" w:cs="宋体" w:hint="eastAsia"/>
          <w:spacing w:val="10"/>
          <w:sz w:val="24"/>
          <w:szCs w:val="24"/>
          <w:lang w:val="fr-FR"/>
        </w:rPr>
        <w:t>3</w:t>
      </w: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pPr>
    </w:p>
    <w:p w:rsidR="006945DC" w:rsidRDefault="006945DC">
      <w:pPr>
        <w:pStyle w:val="a3"/>
        <w:tabs>
          <w:tab w:val="left" w:pos="2100"/>
        </w:tabs>
        <w:rPr>
          <w:spacing w:val="10"/>
          <w:sz w:val="24"/>
          <w:szCs w:val="24"/>
        </w:rPr>
        <w:sectPr w:rsidR="006945DC">
          <w:footerReference w:type="first" r:id="rId9"/>
          <w:pgSz w:w="11906" w:h="16838"/>
          <w:pgMar w:top="1440" w:right="1247" w:bottom="1440" w:left="1701" w:header="851" w:footer="992" w:gutter="0"/>
          <w:pgNumType w:start="1" w:chapStyle="1" w:chapSep="enDash"/>
          <w:cols w:space="425"/>
          <w:docGrid w:type="lines" w:linePitch="312"/>
        </w:sectPr>
      </w:pPr>
    </w:p>
    <w:p w:rsidR="006945DC" w:rsidRDefault="006945DC">
      <w:pPr>
        <w:pStyle w:val="a3"/>
        <w:tabs>
          <w:tab w:val="left" w:pos="2100"/>
        </w:tabs>
        <w:rPr>
          <w:spacing w:val="10"/>
          <w:sz w:val="24"/>
          <w:szCs w:val="24"/>
        </w:rPr>
      </w:pPr>
    </w:p>
    <w:p w:rsidR="006945DC" w:rsidRPr="00C24F3D" w:rsidRDefault="006945DC">
      <w:pPr>
        <w:pStyle w:val="a6"/>
        <w:widowControl/>
        <w:spacing w:line="324" w:lineRule="atLeast"/>
        <w:jc w:val="center"/>
      </w:pPr>
    </w:p>
    <w:p w:rsidR="006945DC" w:rsidRDefault="00953FCF">
      <w:pPr>
        <w:pStyle w:val="a6"/>
        <w:widowControl/>
        <w:spacing w:after="180" w:line="324" w:lineRule="atLeast"/>
        <w:jc w:val="center"/>
        <w:rPr>
          <w:rFonts w:ascii="-webkit-standard" w:eastAsia="-webkit-standard" w:hAnsi="-webkit-standard" w:cs="-webkit-standard"/>
          <w:color w:val="000000"/>
          <w:sz w:val="27"/>
          <w:szCs w:val="27"/>
        </w:rPr>
      </w:pPr>
      <w:r>
        <w:rPr>
          <w:rFonts w:ascii="黑体" w:eastAsia="黑体" w:hAnsi="宋体" w:cs="黑体"/>
          <w:b/>
          <w:bCs/>
          <w:color w:val="000000"/>
          <w:sz w:val="36"/>
          <w:szCs w:val="36"/>
        </w:rPr>
        <w:t>2022寒假社会实践活动</w:t>
      </w:r>
      <w:r>
        <w:rPr>
          <w:rFonts w:ascii="黑体" w:eastAsia="黑体" w:hAnsi="宋体" w:cs="黑体"/>
          <w:b/>
          <w:bCs/>
          <w:color w:val="000000"/>
          <w:sz w:val="36"/>
          <w:szCs w:val="36"/>
        </w:rPr>
        <w:t>——</w:t>
      </w:r>
      <w:r>
        <w:rPr>
          <w:rFonts w:ascii="黑体" w:eastAsia="黑体" w:hAnsi="宋体" w:cs="黑体"/>
          <w:b/>
          <w:bCs/>
          <w:color w:val="000000"/>
          <w:sz w:val="36"/>
          <w:szCs w:val="36"/>
        </w:rPr>
        <w:t>本土养老情况调查</w:t>
      </w:r>
    </w:p>
    <w:p w:rsidR="006945DC" w:rsidRDefault="00953FCF">
      <w:pPr>
        <w:pStyle w:val="a6"/>
        <w:widowControl/>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t>一、调查背景及目的:</w:t>
      </w:r>
    </w:p>
    <w:p w:rsidR="006945DC" w:rsidRDefault="00953FCF">
      <w:pPr>
        <w:pStyle w:val="a6"/>
        <w:widowControl/>
        <w:spacing w:line="40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在新常态时代经济科技进步发展的巨大背景下,社会经济进步不断加快,、近年来,我国农村人口老龄化快速推进爬坡,孕育了庞大的农村养老医疗服务市场需求,加快了推动我国农村养老院服务行业的健康发展。据民政部网站公布的相关数据统计显示,截至2020年底,全国累计共有各类养老服务机构3.8万个,养老服务机构开设床位483.1万张。</w:t>
      </w:r>
    </w:p>
    <w:p w:rsidR="00C24F3D" w:rsidRDefault="00953FCF" w:rsidP="00C24F3D">
      <w:pPr>
        <w:pStyle w:val="a6"/>
        <w:widowControl/>
        <w:spacing w:line="400" w:lineRule="exact"/>
        <w:ind w:firstLine="420"/>
        <w:jc w:val="left"/>
        <w:rPr>
          <w:rFonts w:ascii="宋体" w:eastAsia="宋体" w:hAnsi="宋体" w:cs="宋体"/>
          <w:color w:val="000000"/>
          <w:sz w:val="28"/>
          <w:szCs w:val="28"/>
        </w:rPr>
      </w:pPr>
      <w:r>
        <w:rPr>
          <w:rFonts w:ascii="宋体" w:eastAsia="宋体" w:hAnsi="宋体" w:cs="宋体" w:hint="eastAsia"/>
          <w:color w:val="000000"/>
          <w:sz w:val="28"/>
          <w:szCs w:val="28"/>
        </w:rPr>
        <w:t>据民政部相关统计数据,截至2020年7月底,我国已计划建成的养老护理机构平均床位429.1万张,收住院的老年人却只有214.6万五千人,养老机构床位平均空置率高达50%。我国养老院床位空置率高主要受益于传统中国养老护理观念文化影响大,再次之加上大型养老院床位服务质量参差不齐、专业养老护理服务人才不足部分大型养老院的床位选址和收费定价体系不合理、服务设施不健全完善,</w:t>
      </w:r>
      <w:r w:rsidR="00C24F3D">
        <w:rPr>
          <w:rFonts w:ascii="宋体" w:eastAsia="宋体" w:hAnsi="宋体" w:cs="宋体" w:hint="eastAsia"/>
          <w:color w:val="000000"/>
          <w:sz w:val="28"/>
          <w:szCs w:val="28"/>
        </w:rPr>
        <w:t>我国部分养老院床位入住率难以持续提高</w:t>
      </w:r>
    </w:p>
    <w:p w:rsidR="00C24F3D" w:rsidRDefault="00C24F3D" w:rsidP="00C24F3D">
      <w:pPr>
        <w:pStyle w:val="a6"/>
        <w:widowControl/>
        <w:spacing w:line="400" w:lineRule="exact"/>
        <w:jc w:val="left"/>
        <w:rPr>
          <w:rFonts w:ascii="宋体" w:eastAsia="宋体" w:hAnsi="宋体" w:cs="宋体"/>
          <w:color w:val="000000"/>
          <w:sz w:val="28"/>
          <w:szCs w:val="28"/>
        </w:rPr>
      </w:pPr>
    </w:p>
    <w:p w:rsidR="00C24F3D" w:rsidRDefault="00953FCF" w:rsidP="00C24F3D">
      <w:pPr>
        <w:pStyle w:val="a6"/>
        <w:widowControl/>
        <w:spacing w:line="400" w:lineRule="exact"/>
        <w:jc w:val="left"/>
        <w:rPr>
          <w:rFonts w:ascii="宋体" w:eastAsia="宋体" w:hAnsi="宋体" w:cs="宋体"/>
          <w:color w:val="000000"/>
          <w:sz w:val="28"/>
          <w:szCs w:val="28"/>
        </w:rPr>
      </w:pPr>
      <w:r>
        <w:rPr>
          <w:rFonts w:ascii="宋体" w:eastAsia="宋体" w:hAnsi="宋体" w:cs="宋体" w:hint="eastAsia"/>
          <w:color w:val="000000"/>
          <w:sz w:val="28"/>
          <w:szCs w:val="28"/>
        </w:rPr>
        <w:t>二、调查内容:</w:t>
      </w:r>
    </w:p>
    <w:p w:rsidR="00C24F3D" w:rsidRDefault="00953FCF" w:rsidP="00C24F3D">
      <w:pPr>
        <w:pStyle w:val="a6"/>
        <w:widowControl/>
        <w:spacing w:line="400" w:lineRule="exact"/>
        <w:ind w:firstLineChars="150" w:firstLine="420"/>
        <w:jc w:val="left"/>
        <w:rPr>
          <w:rFonts w:ascii="宋体" w:eastAsia="宋体" w:hAnsi="宋体" w:cs="宋体"/>
          <w:color w:val="000000"/>
          <w:sz w:val="28"/>
          <w:szCs w:val="28"/>
        </w:rPr>
      </w:pPr>
      <w:r>
        <w:rPr>
          <w:rFonts w:ascii="宋体" w:eastAsia="宋体" w:hAnsi="宋体" w:cs="宋体" w:hint="eastAsia"/>
          <w:color w:val="000000"/>
          <w:sz w:val="28"/>
          <w:szCs w:val="28"/>
        </w:rPr>
        <w:t>养老院分布情况,养老院建设等</w:t>
      </w:r>
    </w:p>
    <w:p w:rsidR="00FE7073" w:rsidRDefault="00FE7073" w:rsidP="00C24F3D">
      <w:pPr>
        <w:pStyle w:val="a6"/>
        <w:widowControl/>
        <w:spacing w:line="400" w:lineRule="exact"/>
        <w:ind w:firstLineChars="150" w:firstLine="420"/>
        <w:jc w:val="left"/>
        <w:rPr>
          <w:rFonts w:ascii="宋体" w:eastAsia="宋体" w:hAnsi="宋体" w:cs="宋体"/>
          <w:color w:val="000000"/>
          <w:sz w:val="28"/>
          <w:szCs w:val="28"/>
        </w:rPr>
      </w:pPr>
    </w:p>
    <w:p w:rsidR="00FE7073" w:rsidRDefault="00953FCF" w:rsidP="00C24F3D">
      <w:pPr>
        <w:pStyle w:val="a6"/>
        <w:widowControl/>
        <w:spacing w:line="400" w:lineRule="exact"/>
        <w:jc w:val="left"/>
        <w:rPr>
          <w:rFonts w:ascii="宋体" w:eastAsia="宋体" w:hAnsi="宋体" w:cs="宋体"/>
          <w:color w:val="000000"/>
          <w:sz w:val="28"/>
          <w:szCs w:val="28"/>
        </w:rPr>
      </w:pPr>
      <w:r>
        <w:rPr>
          <w:rFonts w:ascii="宋体" w:eastAsia="宋体" w:hAnsi="宋体" w:cs="宋体" w:hint="eastAsia"/>
          <w:color w:val="000000"/>
          <w:sz w:val="28"/>
          <w:szCs w:val="28"/>
        </w:rPr>
        <w:t>三、调查方式:</w:t>
      </w:r>
    </w:p>
    <w:p w:rsidR="006945DC" w:rsidRDefault="00953FCF">
      <w:pPr>
        <w:pStyle w:val="a6"/>
        <w:widowControl/>
        <w:spacing w:line="40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走访调查、线上问卷调查等多方面多层次调查</w:t>
      </w:r>
    </w:p>
    <w:p w:rsidR="00FE7073" w:rsidRDefault="00FE7073">
      <w:pPr>
        <w:pStyle w:val="a6"/>
        <w:widowControl/>
        <w:spacing w:line="400" w:lineRule="exact"/>
        <w:ind w:firstLine="420"/>
        <w:rPr>
          <w:rFonts w:ascii="宋体" w:eastAsia="宋体" w:hAnsi="宋体" w:cs="宋体"/>
          <w:color w:val="000000"/>
          <w:sz w:val="28"/>
          <w:szCs w:val="28"/>
        </w:rPr>
      </w:pPr>
    </w:p>
    <w:p w:rsidR="006945DC" w:rsidRDefault="00953FCF">
      <w:pPr>
        <w:pStyle w:val="a6"/>
        <w:widowControl/>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t>四、调查数据分析:</w:t>
      </w:r>
    </w:p>
    <w:p w:rsidR="00FE7073" w:rsidRDefault="00953FCF" w:rsidP="00FE7073">
      <w:pPr>
        <w:pStyle w:val="a6"/>
        <w:widowControl/>
        <w:spacing w:line="400" w:lineRule="exact"/>
        <w:ind w:firstLine="420"/>
        <w:rPr>
          <w:rFonts w:ascii="宋体" w:eastAsia="宋体" w:hAnsi="宋体" w:cs="宋体"/>
          <w:color w:val="000000"/>
          <w:sz w:val="28"/>
          <w:szCs w:val="28"/>
        </w:rPr>
        <w:sectPr w:rsidR="00FE7073" w:rsidSect="00FE7073">
          <w:footerReference w:type="default" r:id="rId10"/>
          <w:footerReference w:type="first" r:id="rId11"/>
          <w:pgSz w:w="11906" w:h="16838"/>
          <w:pgMar w:top="1440" w:right="1247" w:bottom="1440" w:left="1701" w:header="851" w:footer="992" w:gutter="0"/>
          <w:pgNumType w:start="1" w:chapStyle="1" w:chapSep="enDash"/>
          <w:cols w:space="425"/>
          <w:docGrid w:type="lines" w:linePitch="312"/>
        </w:sectPr>
      </w:pPr>
      <w:r>
        <w:rPr>
          <w:rFonts w:ascii="宋体" w:eastAsia="宋体" w:hAnsi="宋体" w:cs="宋体" w:hint="eastAsia"/>
          <w:color w:val="000000"/>
          <w:sz w:val="28"/>
          <w:szCs w:val="28"/>
        </w:rPr>
        <w:t>根据60家中国养老管理研究院的统计数据分析统计,2020年,广州各个地区城市共有217家大型专业养老管理服务事业机构,床位57223张,平均每家大型养老服务机构每年可以拥有平均使用床位263张。目前我们能够通过相关统计数据监测了解到的66家大型养老服务机构的总建筑占地结构建筑面积大约为1031081.36㎡,平均每家大型养老服务机构的总总占地建筑面积大约为15622.4㎡。目前已知的180家大型养老服务机构的总建筑占地面积已经基本达到1560216㎡,平均每家机构的总占地面积为8667.9㎡。从大型养老服务机构的平均使用床位规模使用数量规模、建筑面积和每年平均机构占地面积的平均变化分布以及发展变化情况统计分</w:t>
      </w:r>
    </w:p>
    <w:p w:rsidR="00C24F3D" w:rsidRDefault="00953FCF" w:rsidP="00FE7073">
      <w:pPr>
        <w:pStyle w:val="a6"/>
        <w:widowControl/>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lastRenderedPageBreak/>
        <w:t>析结果来看,广州市的大型专业养老管理服务事业机构平均床位使用规模较大,以大中型专业养老服务机构床位规模较大为主。</w:t>
      </w:r>
    </w:p>
    <w:p w:rsidR="006945DC" w:rsidRDefault="00953FCF">
      <w:pPr>
        <w:pStyle w:val="a6"/>
        <w:widowControl/>
        <w:spacing w:line="40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217家大型养老服务机构中,我们详细统计了166家养老机构的历年收费标准价格。这些医疗机构均价平均每个月度的收费标准价格分别为3822.8元,均价的实际价格波动区间分别为750-24000元/一个月。最低膳食收费的每月平均价格稳定为2216.5元/每个人每月,最高最低膳食服务收费的每月服务平均价格一般稳定为5438.1元/每个人每月,其中,最低最高膳食服务收费公共服务产品价格的每月平均价格最高水平最低区间一般稳定为300-16000元/每个人每月,最高最低膳食服务收费公共服务产品价格的每月平均价格最低水平最高区间一般稳定为1000-32000元/每个人每月。我们去年统计调查中得到的25家低价养老服务机构的平均医疗床位费的每月平均价一般是定位于829.7元/人每月一直到2079.2元/每个人每月之间,低价养老机构平均床位费的每月平均价格收入水平偏高区间一般通常是250-3383元/每个人每月,高价养老机构平均床位费的每月平均价格收入水平偏低区间一般通常是600-14300元/每个人每月。</w:t>
      </w:r>
    </w:p>
    <w:p w:rsidR="006945DC" w:rsidRDefault="00953FCF">
      <w:pPr>
        <w:pStyle w:val="a6"/>
        <w:widowControl/>
        <w:spacing w:line="40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同时,公开膳食统计中未披露服务床位套餐护理费膳食平均价格的城市养老服务机构一般总共有24家,平均床位膳食价格收费532.8-2267.5元/一个人每月,其中,低价服务床位套餐护理费的膳食平均价格收费水平偏高区间一般大约为200-1050元/一个人每月,高价服务床位套餐护理费的膳食平均价格收费水平偏低区间一般大约是550-9000元/一个人每月。在我们近期统计调查观察到的22家农村养老服务机构中,每月平均每人膳食费的平均累计收取从300元/每个人每月到1800元/每个人每月之间依次不等,月均每人膳食费共收费698.6元。</w:t>
      </w:r>
    </w:p>
    <w:p w:rsidR="00FE7073" w:rsidRDefault="00953FCF" w:rsidP="00FE7073">
      <w:pPr>
        <w:pStyle w:val="a6"/>
        <w:widowControl/>
        <w:spacing w:line="40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广州市民营护理养老保险服务机构主要服务类型特别分布在老年人和就业人口密集的公建广州荔湾区、越秀区、海珠区、白云区。特别是在靠近公建广州城市中心区和都市圈新城区的公建广州海珠区、白云区和公建广州荔湾区民营护理养老保险服务机构定点行业发展市场化快且发展规模程度高。大中型民营护理养老保险服务机构从业人数数量居多,且大型公建民营护理养老保险机构行业发展程度规模较大。大型民营养老保险服务机构每张床位入住率平均最高为52.6%,护理型民营养老保险床位每张平均入住率高。而公建中医药与养养相关的结合民营养老保险服务设施主要服务类型分别包括康复住院护理医务室、门诊部、卫生所、康复护理治疗服务中心、护理院、医院,其中,康复院和护理治疗中心从业人员拥有数</w:t>
      </w:r>
    </w:p>
    <w:p w:rsidR="00FE7073" w:rsidRDefault="00FE7073" w:rsidP="00FE7073">
      <w:pPr>
        <w:pStyle w:val="a6"/>
        <w:widowControl/>
        <w:spacing w:line="400" w:lineRule="exact"/>
        <w:rPr>
          <w:rFonts w:ascii="宋体" w:eastAsia="宋体" w:hAnsi="宋体" w:cs="宋体"/>
          <w:color w:val="000000"/>
          <w:sz w:val="28"/>
          <w:szCs w:val="28"/>
        </w:rPr>
        <w:sectPr w:rsidR="00FE7073" w:rsidSect="00C24F3D">
          <w:footerReference w:type="default" r:id="rId12"/>
          <w:pgSz w:w="11906" w:h="16838"/>
          <w:pgMar w:top="1440" w:right="1247" w:bottom="1440" w:left="1701" w:header="851" w:footer="992" w:gutter="0"/>
          <w:pgNumType w:start="1" w:chapStyle="1" w:chapSep="enDash"/>
          <w:cols w:space="425"/>
          <w:docGrid w:type="lines" w:linePitch="312"/>
        </w:sectPr>
      </w:pPr>
    </w:p>
    <w:p w:rsidR="00C24F3D" w:rsidRDefault="00953FCF" w:rsidP="00FE7073">
      <w:pPr>
        <w:pStyle w:val="a6"/>
        <w:widowControl/>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lastRenderedPageBreak/>
        <w:t>量最多。此外,被公建国家批准认定的并可继续作为长期护理员工康复护理专业养老保险服务机构管理定点从业服务人员机构的公建国有民营养</w:t>
      </w:r>
    </w:p>
    <w:p w:rsidR="006945DC" w:rsidRDefault="00953FCF">
      <w:pPr>
        <w:pStyle w:val="a6"/>
        <w:widowControl/>
        <w:spacing w:line="40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老保险服务机构人数比例平均超过50%。且长期护理养老保险服务机构定点从业人员继续培养机构配置人力资源比较充足,平均每家民营养老保险机构每年拥有长期员工护理养老保险人数50人。</w:t>
      </w:r>
    </w:p>
    <w:p w:rsidR="00FE7073" w:rsidRDefault="00953FCF" w:rsidP="00FE7073">
      <w:pPr>
        <w:pStyle w:val="a6"/>
        <w:widowControl/>
        <w:spacing w:line="40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通过比较分析统计数据对比比较分析广州市60岁以上老年就业人口数量和老年老人养老机构服务管理机构就业人口数量,研究工作人员分析发现,广州市各区的老年老人养老机构服务管理机构就业人口数量多少与各区老年服务机构就业人口数量多少基本可以相匹配,老年服务机构就业人口数量最多的四个区是越秀区、海珠区、荔湾区、白云区四个就业地区也同样普遍认为各区是老年养老服务机构就业人口数量最多的四个县级行政区。其他几个县级行政区的老年老人养老机构服务管理机构就业人口数量排序分布数据排序与各区就业人口数量排序分布数据排序基本一致。因此,对比分析统计比较研究广州的各区老年养老机构服务管理机构就业人口数量和老年服务机构就业人口数量,可以明显充分看出,广州市的各区老年养老机构服务管理机构就业人口数量分布排序数据分布与各区老年服务机构就业人口数量排序分布基本可以保持一致,人口数量多的一些就业地区,养老机构服务管理机构就业人口数量也比较多。</w:t>
      </w:r>
    </w:p>
    <w:p w:rsidR="00FE7073" w:rsidRDefault="00FE7073" w:rsidP="00FE7073">
      <w:pPr>
        <w:pStyle w:val="a6"/>
        <w:widowControl/>
        <w:spacing w:line="400" w:lineRule="exact"/>
        <w:rPr>
          <w:rFonts w:ascii="宋体" w:eastAsia="宋体" w:hAnsi="宋体" w:cs="宋体"/>
          <w:color w:val="000000"/>
          <w:sz w:val="28"/>
          <w:szCs w:val="28"/>
        </w:rPr>
      </w:pPr>
    </w:p>
    <w:p w:rsidR="006945DC" w:rsidRDefault="00953FCF">
      <w:pPr>
        <w:pStyle w:val="a6"/>
        <w:widowControl/>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t>五、问题分析:</w:t>
      </w:r>
    </w:p>
    <w:p w:rsidR="006945DC" w:rsidRDefault="00953FCF">
      <w:pPr>
        <w:pStyle w:val="a6"/>
        <w:widowControl/>
        <w:spacing w:line="40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1、用地建设选址发展空间较小。相对地比较于大型商业用地开发设施项目,养老机构服务项目的投资收益率和回报率相对偏低,地方人民政府统筹安排大型养老机构服务设施项目用地发展缺乏政策积极性。大型养老机构服务项目对用地空间发展距离、人口流动密集度、医疗服务条件等配套服务设施用地要求相对较高,部分偏远地区大型养老服务机构用地建设项目用地发展需求没有完全得到有效基本满足。此外,城镇化和老城区商业开发早,人口密度大,用地紧张,设施项目改造用地难度大,发展中的养老机构服务设施用地空间有限,许多大型养老服务机构用地建设项目难以顺利落地。</w:t>
      </w:r>
    </w:p>
    <w:p w:rsidR="00FE7073" w:rsidRDefault="00953FCF" w:rsidP="00FE7073">
      <w:pPr>
        <w:pStyle w:val="a6"/>
        <w:widowControl/>
        <w:spacing w:line="400" w:lineRule="exact"/>
        <w:ind w:firstLine="420"/>
        <w:rPr>
          <w:rFonts w:ascii="宋体" w:eastAsia="宋体" w:hAnsi="宋体" w:cs="宋体"/>
          <w:color w:val="000000"/>
          <w:sz w:val="28"/>
          <w:szCs w:val="28"/>
        </w:rPr>
        <w:sectPr w:rsidR="00FE7073" w:rsidSect="00C24F3D">
          <w:footerReference w:type="default" r:id="rId13"/>
          <w:pgSz w:w="11906" w:h="16838"/>
          <w:pgMar w:top="1440" w:right="1247" w:bottom="1440" w:left="1701" w:header="851" w:footer="992" w:gutter="0"/>
          <w:pgNumType w:start="1" w:chapStyle="1" w:chapSep="enDash"/>
          <w:cols w:space="425"/>
          <w:docGrid w:type="lines" w:linePitch="312"/>
        </w:sectPr>
      </w:pPr>
      <w:r>
        <w:rPr>
          <w:rFonts w:ascii="宋体" w:eastAsia="宋体" w:hAnsi="宋体" w:cs="宋体" w:hint="eastAsia"/>
          <w:color w:val="000000"/>
          <w:sz w:val="28"/>
          <w:szCs w:val="28"/>
        </w:rPr>
        <w:t>2、融资设施建设项目资金不足。目前我国保障养老保险事业基的资金来源主要可能包括我国中央财政、地方政府财政以及中国福利彩票养老公益金。由于融资设施建设项目资金不足,导致无论是在我国新建保障养老保险床位、增加保障养老保险服务设施,还是在对我国已有保障养老服务设施结构进行适当的老化以及改造建设方面,都已经显得举步维艰。但从</w:t>
      </w:r>
    </w:p>
    <w:p w:rsidR="00C24F3D" w:rsidRDefault="00953FCF" w:rsidP="00FE7073">
      <w:pPr>
        <w:pStyle w:val="a6"/>
        <w:widowControl/>
        <w:spacing w:line="400" w:lineRule="exact"/>
        <w:rPr>
          <w:rFonts w:ascii="宋体" w:eastAsia="宋体" w:hAnsi="宋体" w:cs="宋体"/>
          <w:color w:val="000000"/>
          <w:sz w:val="28"/>
          <w:szCs w:val="28"/>
        </w:rPr>
      </w:pPr>
      <w:r>
        <w:rPr>
          <w:rFonts w:ascii="宋体" w:eastAsia="宋体" w:hAnsi="宋体" w:cs="宋体" w:hint="eastAsia"/>
          <w:color w:val="000000"/>
          <w:sz w:val="28"/>
          <w:szCs w:val="28"/>
        </w:rPr>
        <w:lastRenderedPageBreak/>
        <w:t>整体上看来说,养老保险事业基金融资设施建设资金投入严重不足,保障养老功能十分弱小,养老服务设施及相关养老保险服务明显供不应求。</w:t>
      </w:r>
    </w:p>
    <w:p w:rsidR="006945DC" w:rsidRDefault="00953FCF">
      <w:pPr>
        <w:pStyle w:val="a6"/>
        <w:widowControl/>
        <w:spacing w:line="400" w:lineRule="exact"/>
        <w:ind w:firstLine="420"/>
        <w:rPr>
          <w:rFonts w:ascii="-webkit-standard" w:eastAsia="-webkit-standard" w:hAnsi="-webkit-standard" w:cs="-webkit-standard"/>
          <w:color w:val="000000"/>
          <w:sz w:val="27"/>
          <w:szCs w:val="27"/>
        </w:rPr>
      </w:pPr>
      <w:r>
        <w:rPr>
          <w:rFonts w:ascii="宋体" w:eastAsia="宋体" w:hAnsi="宋体" w:cs="宋体" w:hint="eastAsia"/>
          <w:color w:val="000000"/>
          <w:sz w:val="28"/>
          <w:szCs w:val="28"/>
        </w:rPr>
        <w:t>3、许可事项审批手续程序复杂。按照《养老机构设立许可办法》,新建立的养老行政机构审批涉及覆盖到全市民政、卫生、环保等多个行政部门。尽管目前各级人民政府都在积极力推简政放权,取消和规范下放养老行政机构审批许可事项,但是否具备利于可持续操作的一些具体措施还没有完全出台。据媒体报道,成立这样一家专业养老咨询服务公司,办妥各项养老相关审批手续至少可能需要半年左右时间。</w:t>
      </w:r>
    </w:p>
    <w:p w:rsidR="006945DC" w:rsidRDefault="006945DC">
      <w:pPr>
        <w:rPr>
          <w:b/>
          <w:bCs/>
          <w:sz w:val="28"/>
          <w:szCs w:val="28"/>
        </w:rPr>
      </w:pPr>
    </w:p>
    <w:p w:rsidR="006945DC" w:rsidRDefault="00953FCF">
      <w:r>
        <w:rPr>
          <w:rFonts w:hint="eastAsia"/>
        </w:rPr>
        <w:t>时间</w:t>
      </w:r>
      <w:r>
        <w:rPr>
          <w:rFonts w:hint="eastAsia"/>
        </w:rPr>
        <w:t>:2021</w:t>
      </w:r>
      <w:r>
        <w:rPr>
          <w:rFonts w:hint="eastAsia"/>
        </w:rPr>
        <w:t>年</w:t>
      </w:r>
      <w:r>
        <w:rPr>
          <w:rFonts w:hint="eastAsia"/>
        </w:rPr>
        <w:t>1</w:t>
      </w:r>
      <w:r>
        <w:rPr>
          <w:rFonts w:hint="eastAsia"/>
        </w:rPr>
        <w:t>月</w:t>
      </w:r>
      <w:r>
        <w:rPr>
          <w:rFonts w:hint="eastAsia"/>
        </w:rPr>
        <w:t>23</w:t>
      </w:r>
      <w:r>
        <w:rPr>
          <w:rFonts w:hint="eastAsia"/>
        </w:rPr>
        <w:t>日</w:t>
      </w:r>
    </w:p>
    <w:p w:rsidR="006945DC" w:rsidRDefault="00953FCF">
      <w:r>
        <w:rPr>
          <w:rFonts w:hint="eastAsia"/>
        </w:rPr>
        <w:t>地点</w:t>
      </w:r>
      <w:r>
        <w:rPr>
          <w:rFonts w:hint="eastAsia"/>
        </w:rPr>
        <w:t>:</w:t>
      </w:r>
      <w:r>
        <w:rPr>
          <w:rFonts w:hint="eastAsia"/>
        </w:rPr>
        <w:t>广东省深圳市龙华区龙华大道共和花园</w:t>
      </w:r>
      <w:r>
        <w:rPr>
          <w:rFonts w:hint="eastAsia"/>
        </w:rPr>
        <w:t>40-49</w:t>
      </w:r>
      <w:r>
        <w:rPr>
          <w:rFonts w:hint="eastAsia"/>
        </w:rPr>
        <w:t>号</w:t>
      </w:r>
    </w:p>
    <w:p w:rsidR="006945DC" w:rsidRDefault="00953FCF">
      <w:r>
        <w:rPr>
          <w:rFonts w:hint="eastAsia"/>
        </w:rPr>
        <w:t>受调查人</w:t>
      </w:r>
      <w:r>
        <w:rPr>
          <w:rFonts w:hint="eastAsia"/>
        </w:rPr>
        <w:t>:</w:t>
      </w:r>
      <w:r>
        <w:rPr>
          <w:rFonts w:hint="eastAsia"/>
        </w:rPr>
        <w:t>姚舒平</w:t>
      </w:r>
    </w:p>
    <w:p w:rsidR="006945DC" w:rsidRDefault="00953FCF">
      <w:r>
        <w:rPr>
          <w:rFonts w:hint="eastAsia"/>
        </w:rPr>
        <w:t>受调查人物联系电话</w:t>
      </w:r>
      <w:r>
        <w:rPr>
          <w:rFonts w:hint="eastAsia"/>
        </w:rPr>
        <w:t>:19872571557</w:t>
      </w:r>
    </w:p>
    <w:p w:rsidR="006945DC" w:rsidRDefault="00953FCF">
      <w:pPr>
        <w:rPr>
          <w:b/>
          <w:bCs/>
          <w:sz w:val="28"/>
          <w:szCs w:val="28"/>
        </w:rPr>
      </w:pPr>
      <w:r>
        <w:rPr>
          <w:rFonts w:hint="eastAsia"/>
        </w:rPr>
        <w:t>受调查人物地址</w:t>
      </w:r>
      <w:r>
        <w:rPr>
          <w:rFonts w:hint="eastAsia"/>
        </w:rPr>
        <w:t xml:space="preserve">: </w:t>
      </w:r>
      <w:r>
        <w:rPr>
          <w:rFonts w:hint="eastAsia"/>
        </w:rPr>
        <w:t>广东省深圳市龙华区龙华大道共和花园</w:t>
      </w:r>
      <w:r>
        <w:rPr>
          <w:rFonts w:hint="eastAsia"/>
        </w:rPr>
        <w:t>38</w:t>
      </w:r>
      <w:r>
        <w:rPr>
          <w:rFonts w:hint="eastAsia"/>
        </w:rPr>
        <w:t>号</w:t>
      </w:r>
    </w:p>
    <w:sectPr w:rsidR="006945DC" w:rsidSect="00C24F3D">
      <w:footerReference w:type="default" r:id="rId14"/>
      <w:pgSz w:w="11906" w:h="16838"/>
      <w:pgMar w:top="1440" w:right="1247" w:bottom="1440" w:left="1701" w:header="851" w:footer="992" w:gutter="0"/>
      <w:pgNumType w:start="1" w:chapStyle="1" w:chapSep="e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884" w:rsidRDefault="004E4884" w:rsidP="006945DC">
      <w:r>
        <w:separator/>
      </w:r>
    </w:p>
  </w:endnote>
  <w:endnote w:type="continuationSeparator" w:id="0">
    <w:p w:rsidR="004E4884" w:rsidRDefault="004E4884" w:rsidP="00694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ebkit-standard">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DC" w:rsidRDefault="00D0004C">
    <w:pPr>
      <w:pStyle w:val="a4"/>
    </w:pPr>
    <w:r w:rsidRPr="00D0004C">
      <w:rPr>
        <w:color w:val="4F81BD" w:themeColor="accent1"/>
      </w:rPr>
      <w:pict>
        <v:rect id="矩形 452" o:spid="_x0000_s1026" style="position:absolute;margin-left:0;margin-top:0;width:579.9pt;height:750.3pt;z-index:251659264;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AA&#10;" filled="f" strokecolor="#938953 [1614]" strokeweight="1.25pt">
          <w10:wrap anchorx="page" anchory="page"/>
        </v:rect>
      </w:pict>
    </w:r>
    <w:r w:rsidR="00953FCF">
      <w:rPr>
        <w:color w:val="4F81BD" w:themeColor="accent1"/>
        <w:lang w:val="zh-CN"/>
      </w:rPr>
      <w:t xml:space="preserve"> </w:t>
    </w:r>
    <w:r w:rsidR="00953FCF">
      <w:rPr>
        <w:rFonts w:asciiTheme="majorHAnsi" w:eastAsiaTheme="majorEastAsia" w:hAnsiTheme="majorHAnsi" w:cstheme="majorBidi"/>
        <w:color w:val="4F81BD" w:themeColor="accent1"/>
        <w:sz w:val="20"/>
        <w:szCs w:val="20"/>
        <w:lang w:val="zh-CN"/>
      </w:rPr>
      <w:t>页</w:t>
    </w:r>
    <w:r w:rsidR="00953FCF">
      <w:rPr>
        <w:rFonts w:asciiTheme="majorHAnsi" w:eastAsiaTheme="majorEastAsia" w:hAnsiTheme="majorHAnsi" w:cstheme="majorBidi"/>
        <w:color w:val="4F81BD" w:themeColor="accent1"/>
        <w:sz w:val="20"/>
        <w:szCs w:val="20"/>
        <w:lang w:val="zh-CN"/>
      </w:rPr>
      <w:t xml:space="preserve"> </w:t>
    </w:r>
    <w:r w:rsidRPr="00D0004C">
      <w:rPr>
        <w:color w:val="4F81BD" w:themeColor="accent1"/>
        <w:sz w:val="20"/>
        <w:szCs w:val="20"/>
      </w:rPr>
      <w:fldChar w:fldCharType="begin"/>
    </w:r>
    <w:r w:rsidR="00953FCF">
      <w:rPr>
        <w:color w:val="4F81BD" w:themeColor="accent1"/>
        <w:sz w:val="20"/>
        <w:szCs w:val="20"/>
      </w:rPr>
      <w:instrText>PAGE    \* MERGEFORMAT</w:instrText>
    </w:r>
    <w:r w:rsidRPr="00D0004C">
      <w:rPr>
        <w:color w:val="4F81BD" w:themeColor="accent1"/>
        <w:sz w:val="20"/>
        <w:szCs w:val="20"/>
      </w:rPr>
      <w:fldChar w:fldCharType="separate"/>
    </w:r>
    <w:r w:rsidR="00FE7073" w:rsidRPr="00FE7073">
      <w:rPr>
        <w:rFonts w:asciiTheme="majorHAnsi" w:eastAsiaTheme="majorEastAsia" w:hAnsiTheme="majorHAnsi" w:cstheme="majorBidi"/>
        <w:noProof/>
        <w:color w:val="4F81BD" w:themeColor="accent1"/>
        <w:sz w:val="20"/>
        <w:szCs w:val="20"/>
        <w:lang w:val="zh-CN"/>
      </w:rPr>
      <w:t>1</w:t>
    </w:r>
    <w:r>
      <w:rPr>
        <w:rFonts w:asciiTheme="majorHAnsi" w:eastAsiaTheme="majorEastAsia" w:hAnsiTheme="majorHAnsi" w:cstheme="majorBidi"/>
        <w:color w:val="4F81BD" w:themeColor="accent1"/>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3D" w:rsidRPr="00C24F3D" w:rsidRDefault="00FE7073">
    <w:pPr>
      <w:pStyle w:val="a4"/>
      <w:jc w:val="center"/>
      <w:rPr>
        <w:b/>
        <w:sz w:val="24"/>
        <w:szCs w:val="24"/>
      </w:rPr>
    </w:pPr>
    <w:r>
      <w:rPr>
        <w:rFonts w:hint="eastAsia"/>
        <w:b/>
        <w:sz w:val="24"/>
        <w:szCs w:val="24"/>
      </w:rPr>
      <w:t>1</w:t>
    </w:r>
  </w:p>
  <w:p w:rsidR="00C24F3D" w:rsidRDefault="00C24F3D" w:rsidP="00C24F3D">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73" w:rsidRPr="00FE7073" w:rsidRDefault="00D0004C" w:rsidP="00FE7073">
    <w:pPr>
      <w:pStyle w:val="a4"/>
      <w:jc w:val="center"/>
      <w:rPr>
        <w:sz w:val="24"/>
        <w:szCs w:val="24"/>
      </w:rPr>
    </w:pPr>
    <w:r w:rsidRPr="00D0004C">
      <w:rPr>
        <w:color w:val="4F81BD" w:themeColor="accent1"/>
        <w:sz w:val="24"/>
        <w:szCs w:val="24"/>
      </w:rPr>
      <w:pict>
        <v:rect id="_x0000_s1029" style="position:absolute;left:0;text-align:left;margin-left:0;margin-top:0;width:579.9pt;height:750.3pt;z-index:251661312;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AA&#10;" filled="f" strokecolor="#938953 [1614]" strokeweight="1.25pt">
          <w10:wrap anchorx="page" anchory="page"/>
        </v:rect>
      </w:pict>
    </w:r>
    <w:r w:rsidR="00FE7073" w:rsidRPr="00FE7073">
      <w:rPr>
        <w:rFonts w:hint="eastAsia"/>
        <w:color w:val="4F81BD" w:themeColor="accent1"/>
        <w:sz w:val="24"/>
        <w:szCs w:val="24"/>
        <w:lang w:val="zh-CN"/>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73" w:rsidRPr="00C24F3D" w:rsidRDefault="00FE7073">
    <w:pPr>
      <w:pStyle w:val="a4"/>
      <w:jc w:val="center"/>
      <w:rPr>
        <w:b/>
        <w:sz w:val="24"/>
        <w:szCs w:val="24"/>
      </w:rPr>
    </w:pPr>
    <w:r>
      <w:rPr>
        <w:rFonts w:hint="eastAsia"/>
        <w:b/>
        <w:sz w:val="24"/>
        <w:szCs w:val="24"/>
      </w:rPr>
      <w:t>2</w:t>
    </w:r>
  </w:p>
  <w:p w:rsidR="00FE7073" w:rsidRDefault="00FE7073" w:rsidP="00C24F3D">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73" w:rsidRPr="00C24F3D" w:rsidRDefault="00FE7073">
    <w:pPr>
      <w:pStyle w:val="a4"/>
      <w:jc w:val="center"/>
      <w:rPr>
        <w:b/>
        <w:sz w:val="24"/>
        <w:szCs w:val="24"/>
      </w:rPr>
    </w:pPr>
    <w:r>
      <w:rPr>
        <w:rFonts w:hint="eastAsia"/>
        <w:b/>
        <w:sz w:val="24"/>
        <w:szCs w:val="24"/>
      </w:rPr>
      <w:t>3</w:t>
    </w:r>
  </w:p>
  <w:p w:rsidR="00FE7073" w:rsidRDefault="00FE7073" w:rsidP="00C24F3D">
    <w:pPr>
      <w:pStyle w:val="a4"/>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73" w:rsidRPr="00C24F3D" w:rsidRDefault="00FE7073">
    <w:pPr>
      <w:pStyle w:val="a4"/>
      <w:jc w:val="center"/>
      <w:rPr>
        <w:b/>
        <w:sz w:val="24"/>
        <w:szCs w:val="24"/>
      </w:rPr>
    </w:pPr>
    <w:r>
      <w:rPr>
        <w:rFonts w:hint="eastAsia"/>
        <w:b/>
        <w:sz w:val="24"/>
        <w:szCs w:val="24"/>
      </w:rPr>
      <w:t>4</w:t>
    </w:r>
  </w:p>
  <w:p w:rsidR="00FE7073" w:rsidRDefault="00FE7073" w:rsidP="00C24F3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884" w:rsidRDefault="004E4884" w:rsidP="006945DC">
      <w:r>
        <w:separator/>
      </w:r>
    </w:p>
  </w:footnote>
  <w:footnote w:type="continuationSeparator" w:id="0">
    <w:p w:rsidR="004E4884" w:rsidRDefault="004E4884" w:rsidP="00694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
  <w:rsids>
    <w:rsidRoot w:val="006945DC"/>
    <w:rsid w:val="004E4884"/>
    <w:rsid w:val="006945DC"/>
    <w:rsid w:val="00953FCF"/>
    <w:rsid w:val="00B53972"/>
    <w:rsid w:val="00C24F3D"/>
    <w:rsid w:val="00D0004C"/>
    <w:rsid w:val="00FE7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DC"/>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6945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6945DC"/>
    <w:rPr>
      <w:sz w:val="18"/>
      <w:szCs w:val="18"/>
    </w:rPr>
  </w:style>
  <w:style w:type="paragraph" w:styleId="a4">
    <w:name w:val="footer"/>
    <w:basedOn w:val="a"/>
    <w:link w:val="Char0"/>
    <w:uiPriority w:val="99"/>
    <w:unhideWhenUsed/>
    <w:qFormat/>
    <w:rsid w:val="006945D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945D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6945DC"/>
    <w:rPr>
      <w:sz w:val="24"/>
    </w:rPr>
  </w:style>
  <w:style w:type="character" w:customStyle="1" w:styleId="Char1">
    <w:name w:val="页眉 Char"/>
    <w:basedOn w:val="a0"/>
    <w:link w:val="a5"/>
    <w:uiPriority w:val="99"/>
    <w:qFormat/>
    <w:rsid w:val="006945DC"/>
    <w:rPr>
      <w:sz w:val="18"/>
      <w:szCs w:val="18"/>
    </w:rPr>
  </w:style>
  <w:style w:type="character" w:customStyle="1" w:styleId="Char0">
    <w:name w:val="页脚 Char"/>
    <w:basedOn w:val="a0"/>
    <w:link w:val="a4"/>
    <w:uiPriority w:val="99"/>
    <w:qFormat/>
    <w:rsid w:val="006945DC"/>
    <w:rPr>
      <w:sz w:val="18"/>
      <w:szCs w:val="18"/>
    </w:rPr>
  </w:style>
  <w:style w:type="character" w:customStyle="1" w:styleId="Char">
    <w:name w:val="批注框文本 Char"/>
    <w:basedOn w:val="a0"/>
    <w:link w:val="a3"/>
    <w:uiPriority w:val="99"/>
    <w:semiHidden/>
    <w:qFormat/>
    <w:rsid w:val="006945DC"/>
    <w:rPr>
      <w:sz w:val="18"/>
      <w:szCs w:val="18"/>
    </w:rPr>
  </w:style>
  <w:style w:type="paragraph" w:customStyle="1" w:styleId="1">
    <w:name w:val="样式1"/>
    <w:basedOn w:val="a"/>
    <w:link w:val="10"/>
    <w:qFormat/>
    <w:rsid w:val="006945DC"/>
    <w:rPr>
      <w:b/>
      <w:bCs/>
    </w:rPr>
  </w:style>
  <w:style w:type="paragraph" w:customStyle="1" w:styleId="20">
    <w:name w:val="样式2"/>
    <w:basedOn w:val="2"/>
    <w:link w:val="21"/>
    <w:qFormat/>
    <w:rsid w:val="006945DC"/>
    <w:rPr>
      <w:rFonts w:eastAsiaTheme="minorEastAsia"/>
      <w:sz w:val="28"/>
    </w:rPr>
  </w:style>
  <w:style w:type="character" w:customStyle="1" w:styleId="10">
    <w:name w:val="样式1 字符"/>
    <w:basedOn w:val="a0"/>
    <w:link w:val="1"/>
    <w:qFormat/>
    <w:rsid w:val="006945DC"/>
    <w:rPr>
      <w:b/>
      <w:bCs/>
    </w:rPr>
  </w:style>
  <w:style w:type="character" w:customStyle="1" w:styleId="21">
    <w:name w:val="样式2 字符"/>
    <w:basedOn w:val="10"/>
    <w:link w:val="20"/>
    <w:qFormat/>
    <w:rsid w:val="006945DC"/>
    <w:rPr>
      <w:rFonts w:asciiTheme="majorHAnsi" w:hAnsiTheme="majorHAnsi" w:cstheme="majorBidi"/>
      <w:sz w:val="28"/>
      <w:szCs w:val="32"/>
    </w:rPr>
  </w:style>
  <w:style w:type="character" w:customStyle="1" w:styleId="2Char">
    <w:name w:val="标题 2 Char"/>
    <w:basedOn w:val="a0"/>
    <w:link w:val="2"/>
    <w:uiPriority w:val="9"/>
    <w:semiHidden/>
    <w:qFormat/>
    <w:rsid w:val="006945D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99435-7A96-4E99-BD67-8107CDF6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初名逸安</dc:creator>
  <cp:lastModifiedBy>Administrator</cp:lastModifiedBy>
  <cp:revision>41</cp:revision>
  <dcterms:created xsi:type="dcterms:W3CDTF">2022-02-01T18:51:00Z</dcterms:created>
  <dcterms:modified xsi:type="dcterms:W3CDTF">2022-02-20T09:38:00Z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286E46E96ABF391559FE1162520DC3D3</vt:lpwstr>
  </property>
  <property fmtid="{D5CDD505-2E9C-101B-9397-08002B2CF9AE}" pid="3" name="KSOProductBuildVer">
    <vt:lpwstr>2052-11.15.1</vt:lpwstr>
  </property>
</Properties>
</file>