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mc:AlternateContent>
          <mc:Choice Requires="wps">
            <w:drawing>
              <wp:anchor distT="0" distB="0" distL="114300" distR="114300" simplePos="0" relativeHeight="251659264" behindDoc="0" locked="0" layoutInCell="1" allowOverlap="1">
                <wp:simplePos x="0" y="0"/>
                <wp:positionH relativeFrom="column">
                  <wp:posOffset>3543300</wp:posOffset>
                </wp:positionH>
                <wp:positionV relativeFrom="paragraph">
                  <wp:posOffset>68580</wp:posOffset>
                </wp:positionV>
                <wp:extent cx="1523365" cy="495300"/>
                <wp:effectExtent l="4445" t="4445" r="11430" b="18415"/>
                <wp:wrapNone/>
                <wp:docPr id="1" name="文本框 2"/>
                <wp:cNvGraphicFramePr/>
                <a:graphic xmlns:a="http://schemas.openxmlformats.org/drawingml/2006/main">
                  <a:graphicData uri="http://schemas.microsoft.com/office/word/2010/wordprocessingShape">
                    <wps:wsp>
                      <wps:cNvSpPr txBox="1"/>
                      <wps:spPr>
                        <a:xfrm>
                          <a:off x="0" y="0"/>
                          <a:ext cx="152336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b/>
                                <w:sz w:val="30"/>
                                <w:szCs w:val="30"/>
                              </w:rPr>
                            </w:pPr>
                            <w:r>
                              <w:rPr>
                                <w:rFonts w:hint="eastAsia"/>
                                <w:b/>
                                <w:sz w:val="30"/>
                                <w:szCs w:val="30"/>
                              </w:rPr>
                              <w:t>成绩：</w:t>
                            </w:r>
                          </w:p>
                        </w:txbxContent>
                      </wps:txbx>
                      <wps:bodyPr upright="1"/>
                    </wps:wsp>
                  </a:graphicData>
                </a:graphic>
              </wp:anchor>
            </w:drawing>
          </mc:Choice>
          <mc:Fallback>
            <w:pict>
              <v:shape id="文本框 2" o:spid="_x0000_s1026" o:spt="202" type="#_x0000_t202" style="position:absolute;left:0pt;margin-left:279pt;margin-top:5.4pt;height:39pt;width:119.95pt;z-index:251659264;mso-width-relative:page;mso-height-relative:page;" fillcolor="#FFFFFF" filled="t" stroked="t" coordsize="21600,21600" o:gfxdata="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594ebYAAAACQEAAA8AAAAAAAAAAQAgAAAA&#10;IgAAAGRycy9kb3ducmV2LnhtbFBLAQIUABQAAAAIAIdO4kANtVKICwIAADYEAAAOAAAAAAAAAAEA&#10;IAAAACcBAABkcnMvZTJvRG9jLnhtbFBLBQYAAAAABgAGAFkBAACkBQAAAAA=&#10;">
                <v:fill on="t" focussize="0,0"/>
                <v:stroke color="#000000" joinstyle="miter"/>
                <v:imagedata o:title=""/>
                <o:lock v:ext="edit" aspectratio="f"/>
                <v:textbox>
                  <w:txbxContent>
                    <w:p>
                      <w:pPr>
                        <w:rPr>
                          <w:b/>
                          <w:sz w:val="30"/>
                          <w:szCs w:val="30"/>
                        </w:rPr>
                      </w:pPr>
                      <w:r>
                        <w:rPr>
                          <w:rFonts w:hint="eastAsia"/>
                          <w:b/>
                          <w:sz w:val="30"/>
                          <w:szCs w:val="30"/>
                        </w:rPr>
                        <w:t>成绩：</w:t>
                      </w:r>
                    </w:p>
                  </w:txbxContent>
                </v:textbox>
              </v:shape>
            </w:pict>
          </mc:Fallback>
        </mc:AlternateContent>
      </w:r>
    </w:p>
    <w:p>
      <w:pPr>
        <w:rPr>
          <w:rFonts w:hint="eastAsia"/>
        </w:rPr>
      </w:pPr>
    </w:p>
    <w:p>
      <w:r>
        <w:drawing>
          <wp:inline distT="0" distB="0" distL="0" distR="0">
            <wp:extent cx="3286125" cy="1104900"/>
            <wp:effectExtent l="1905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a:srcRect/>
                    <a:stretch>
                      <a:fillRect/>
                    </a:stretch>
                  </pic:blipFill>
                  <pic:spPr>
                    <a:xfrm>
                      <a:off x="0" y="0"/>
                      <a:ext cx="3286125" cy="1104900"/>
                    </a:xfrm>
                    <a:prstGeom prst="rect">
                      <a:avLst/>
                    </a:prstGeom>
                    <a:noFill/>
                    <a:ln w="9525">
                      <a:noFill/>
                      <a:miter lim="800000"/>
                      <a:headEnd/>
                      <a:tailEnd/>
                    </a:ln>
                  </pic:spPr>
                </pic:pic>
              </a:graphicData>
            </a:graphic>
          </wp:inline>
        </w:drawing>
      </w:r>
    </w:p>
    <w:p>
      <w:pPr>
        <w:rPr>
          <w:rFonts w:hint="eastAsia"/>
        </w:rPr>
      </w:pPr>
    </w:p>
    <w:p>
      <w:r>
        <w:t xml:space="preserve">                                </w:t>
      </w:r>
    </w:p>
    <w:p>
      <w:r>
        <w:t xml:space="preserve">                                                     </w:t>
      </w:r>
    </w:p>
    <w:p/>
    <w:p/>
    <w:p/>
    <w:p/>
    <w:p>
      <w:pPr>
        <w:jc w:val="center"/>
        <w:rPr>
          <w:rFonts w:ascii="黑体" w:hAnsi="黑体" w:eastAsia="黑体" w:cs="黑体"/>
          <w:b/>
          <w:bCs/>
          <w:kern w:val="144"/>
          <w:sz w:val="52"/>
          <w:szCs w:val="52"/>
        </w:rPr>
      </w:pPr>
      <w:r>
        <w:rPr>
          <w:rFonts w:hint="eastAsia" w:ascii="黑体" w:hAnsi="黑体" w:eastAsia="黑体" w:cs="黑体"/>
          <w:b/>
          <w:bCs/>
          <w:kern w:val="144"/>
          <w:sz w:val="52"/>
          <w:szCs w:val="52"/>
        </w:rPr>
        <w:t>私立华联学院</w:t>
      </w:r>
    </w:p>
    <w:p>
      <w:pPr>
        <w:jc w:val="center"/>
        <w:rPr>
          <w:rFonts w:ascii="黑体" w:hAnsi="黑体" w:eastAsia="黑体" w:cs="黑体"/>
          <w:b/>
          <w:bCs/>
          <w:spacing w:val="120"/>
          <w:kern w:val="144"/>
          <w:sz w:val="52"/>
          <w:szCs w:val="52"/>
        </w:rPr>
      </w:pPr>
      <w:r>
        <w:rPr>
          <w:rFonts w:hint="eastAsia" w:ascii="黑体" w:hAnsi="黑体" w:eastAsia="黑体" w:cs="黑体"/>
          <w:b/>
          <w:bCs/>
          <w:kern w:val="144"/>
          <w:sz w:val="52"/>
          <w:szCs w:val="52"/>
        </w:rPr>
        <w:t>假期学生社会实践调查报告</w:t>
      </w:r>
    </w:p>
    <w:p/>
    <w:p/>
    <w:p/>
    <w:p/>
    <w:p/>
    <w:p/>
    <w:p>
      <w:pPr>
        <w:ind w:firstLine="1968" w:firstLineChars="700"/>
        <w:rPr>
          <w:sz w:val="28"/>
          <w:szCs w:val="28"/>
          <w:u w:val="single"/>
        </w:rPr>
      </w:pPr>
      <w:bookmarkStart w:id="7" w:name="_GoBack"/>
      <w:bookmarkEnd w:id="7"/>
      <w:r>
        <w:rPr>
          <w:rFonts w:hint="eastAsia" w:cs="宋体"/>
          <w:b/>
          <w:bCs/>
          <w:sz w:val="28"/>
          <w:szCs w:val="28"/>
        </w:rPr>
        <w:t>课程名称：</w:t>
      </w:r>
      <w:r>
        <w:rPr>
          <w:b/>
          <w:bCs/>
          <w:sz w:val="28"/>
          <w:szCs w:val="28"/>
          <w:u w:val="single"/>
        </w:rPr>
        <w:t xml:space="preserve">  </w:t>
      </w:r>
      <w:r>
        <w:rPr>
          <w:rFonts w:hint="eastAsia" w:ascii="宋体" w:hAnsi="宋体" w:cs="宋体"/>
          <w:b/>
          <w:bCs/>
          <w:sz w:val="28"/>
          <w:szCs w:val="28"/>
          <w:u w:val="single"/>
        </w:rPr>
        <w:t>《思想道德与法治》</w:t>
      </w:r>
      <w:r>
        <w:rPr>
          <w:b/>
          <w:bCs/>
          <w:sz w:val="28"/>
          <w:szCs w:val="28"/>
          <w:u w:val="single"/>
        </w:rPr>
        <w:t xml:space="preserve"> </w:t>
      </w:r>
      <w:r>
        <w:rPr>
          <w:rFonts w:hint="eastAsia"/>
          <w:b/>
          <w:bCs/>
          <w:sz w:val="28"/>
          <w:szCs w:val="28"/>
          <w:u w:val="single"/>
          <w:lang w:val="en-US" w:eastAsia="zh-CN"/>
        </w:rPr>
        <w:t xml:space="preserve">           </w:t>
      </w:r>
      <w:r>
        <w:rPr>
          <w:b/>
          <w:bCs/>
          <w:sz w:val="28"/>
          <w:szCs w:val="28"/>
          <w:u w:val="single"/>
        </w:rPr>
        <w:t xml:space="preserve"> </w:t>
      </w:r>
    </w:p>
    <w:p>
      <w:pPr>
        <w:ind w:firstLine="1968" w:firstLineChars="700"/>
        <w:rPr>
          <w:sz w:val="28"/>
          <w:szCs w:val="28"/>
          <w:u w:val="single"/>
        </w:rPr>
      </w:pPr>
      <w:r>
        <w:rPr>
          <w:rFonts w:hint="eastAsia" w:cs="宋体"/>
          <w:b/>
          <w:bCs/>
          <w:sz w:val="28"/>
          <w:szCs w:val="28"/>
        </w:rPr>
        <w:t>调查报告题目：</w:t>
      </w:r>
      <w:r>
        <w:rPr>
          <w:b/>
          <w:bCs/>
          <w:sz w:val="28"/>
          <w:szCs w:val="28"/>
          <w:u w:val="single"/>
        </w:rPr>
        <w:t xml:space="preserve"> </w:t>
      </w:r>
      <w:r>
        <w:rPr>
          <w:rFonts w:hint="eastAsia"/>
          <w:b/>
          <w:bCs/>
          <w:sz w:val="28"/>
          <w:szCs w:val="28"/>
          <w:u w:val="single"/>
        </w:rPr>
        <w:t>调查了大埔县银江镇的养老情况</w:t>
      </w:r>
      <w:r>
        <w:rPr>
          <w:b/>
          <w:bCs/>
          <w:sz w:val="28"/>
          <w:szCs w:val="28"/>
          <w:u w:val="single"/>
        </w:rPr>
        <w:t xml:space="preserve">   </w:t>
      </w:r>
      <w:r>
        <w:rPr>
          <w:rFonts w:hint="eastAsia"/>
          <w:sz w:val="28"/>
          <w:szCs w:val="28"/>
          <w:u w:val="single"/>
          <w:lang w:val="en-US" w:eastAsia="zh-CN"/>
        </w:rPr>
        <w:t xml:space="preserve"> </w:t>
      </w:r>
    </w:p>
    <w:p>
      <w:pPr>
        <w:ind w:firstLine="1968" w:firstLineChars="700"/>
        <w:rPr>
          <w:rFonts w:hint="default" w:ascii="仿宋_GB2312" w:cs="仿宋_GB2312" w:eastAsiaTheme="minorEastAsia"/>
          <w:b/>
          <w:bCs/>
          <w:sz w:val="28"/>
          <w:szCs w:val="28"/>
          <w:u w:val="single"/>
          <w:lang w:val="en-US" w:eastAsia="zh-CN"/>
        </w:rPr>
      </w:pPr>
      <w:r>
        <w:rPr>
          <w:rFonts w:hint="eastAsia" w:cs="宋体"/>
          <w:b/>
          <w:bCs/>
          <w:sz w:val="28"/>
          <w:szCs w:val="28"/>
        </w:rPr>
        <w:t>指导教师：</w:t>
      </w:r>
      <w:r>
        <w:rPr>
          <w:rFonts w:ascii="仿宋_GB2312" w:cs="仿宋_GB2312"/>
          <w:b/>
          <w:bCs/>
          <w:sz w:val="28"/>
          <w:szCs w:val="28"/>
          <w:u w:val="single"/>
        </w:rPr>
        <w:t xml:space="preserve">     </w:t>
      </w:r>
      <w:r>
        <w:rPr>
          <w:rFonts w:hint="eastAsia" w:ascii="仿宋_GB2312" w:cs="仿宋_GB2312"/>
          <w:b/>
          <w:bCs/>
          <w:sz w:val="28"/>
          <w:szCs w:val="28"/>
          <w:u w:val="single"/>
          <w:lang w:val="en-US" w:eastAsia="zh-CN"/>
        </w:rPr>
        <w:t xml:space="preserve"> </w:t>
      </w:r>
      <w:r>
        <w:rPr>
          <w:rFonts w:hint="eastAsia" w:ascii="仿宋_GB2312" w:cs="仿宋_GB2312"/>
          <w:b/>
          <w:bCs/>
          <w:sz w:val="28"/>
          <w:szCs w:val="28"/>
          <w:u w:val="single"/>
        </w:rPr>
        <w:t>常青</w:t>
      </w:r>
      <w:r>
        <w:rPr>
          <w:rFonts w:hint="eastAsia" w:ascii="仿宋_GB2312" w:cs="仿宋_GB2312"/>
          <w:b/>
          <w:bCs/>
          <w:sz w:val="28"/>
          <w:szCs w:val="28"/>
          <w:u w:val="single"/>
          <w:lang w:val="en-US" w:eastAsia="zh-CN"/>
        </w:rPr>
        <w:t xml:space="preserve">  </w:t>
      </w:r>
      <w:r>
        <w:rPr>
          <w:rFonts w:ascii="仿宋_GB2312" w:cs="仿宋_GB2312"/>
          <w:b/>
          <w:bCs/>
          <w:sz w:val="28"/>
          <w:szCs w:val="28"/>
          <w:u w:val="single"/>
        </w:rPr>
        <w:t xml:space="preserve">  </w:t>
      </w:r>
      <w:r>
        <w:rPr>
          <w:rFonts w:hint="eastAsia" w:ascii="仿宋_GB2312" w:cs="仿宋_GB2312"/>
          <w:b/>
          <w:bCs/>
          <w:sz w:val="28"/>
          <w:szCs w:val="28"/>
          <w:u w:val="single"/>
          <w:lang w:val="en-US" w:eastAsia="zh-CN"/>
        </w:rPr>
        <w:t xml:space="preserve">     </w:t>
      </w:r>
      <w:r>
        <w:rPr>
          <w:rFonts w:ascii="仿宋_GB2312" w:cs="仿宋_GB2312"/>
          <w:b/>
          <w:bCs/>
          <w:sz w:val="28"/>
          <w:szCs w:val="28"/>
          <w:u w:val="single"/>
        </w:rPr>
        <w:t xml:space="preserve">          </w:t>
      </w:r>
      <w:r>
        <w:rPr>
          <w:rFonts w:hint="eastAsia" w:ascii="仿宋_GB2312" w:cs="仿宋_GB2312"/>
          <w:b/>
          <w:bCs/>
          <w:sz w:val="28"/>
          <w:szCs w:val="28"/>
          <w:u w:val="single"/>
          <w:lang w:val="en-US" w:eastAsia="zh-CN"/>
        </w:rPr>
        <w:t xml:space="preserve">  </w:t>
      </w:r>
    </w:p>
    <w:p>
      <w:pPr>
        <w:ind w:firstLine="1968" w:firstLineChars="700"/>
        <w:rPr>
          <w:rFonts w:hint="default" w:eastAsiaTheme="minorEastAsia"/>
          <w:b/>
          <w:bCs/>
          <w:sz w:val="28"/>
          <w:szCs w:val="28"/>
          <w:u w:val="single"/>
          <w:lang w:val="en-US" w:eastAsia="zh-CN"/>
        </w:rPr>
      </w:pPr>
      <w:r>
        <w:rPr>
          <w:rFonts w:hint="eastAsia" w:ascii="仿宋_GB2312" w:cs="宋体"/>
          <w:b/>
          <w:bCs/>
          <w:sz w:val="28"/>
          <w:szCs w:val="28"/>
        </w:rPr>
        <w:t>专业</w:t>
      </w:r>
      <w:r>
        <w:rPr>
          <w:rFonts w:hint="eastAsia" w:cs="宋体"/>
          <w:b/>
          <w:bCs/>
          <w:sz w:val="28"/>
          <w:szCs w:val="28"/>
        </w:rPr>
        <w:t>班级</w:t>
      </w:r>
      <w:r>
        <w:rPr>
          <w:rFonts w:hint="eastAsia" w:ascii="仿宋_GB2312" w:cs="宋体"/>
          <w:b/>
          <w:bCs/>
          <w:sz w:val="28"/>
          <w:szCs w:val="28"/>
        </w:rPr>
        <w:t>：</w:t>
      </w:r>
      <w:r>
        <w:rPr>
          <w:b/>
          <w:bCs/>
          <w:sz w:val="28"/>
          <w:szCs w:val="28"/>
          <w:u w:val="single"/>
        </w:rPr>
        <w:t xml:space="preserve"> </w:t>
      </w:r>
      <w:r>
        <w:rPr>
          <w:rFonts w:hint="eastAsia"/>
          <w:b/>
          <w:bCs/>
          <w:sz w:val="28"/>
          <w:szCs w:val="28"/>
          <w:u w:val="single"/>
          <w:lang w:val="en-US" w:eastAsia="zh-CN"/>
        </w:rPr>
        <w:t xml:space="preserve">    法律系社会工作一班         </w:t>
      </w:r>
    </w:p>
    <w:p>
      <w:pPr>
        <w:ind w:firstLine="2015" w:firstLineChars="717"/>
        <w:rPr>
          <w:rFonts w:hint="default" w:eastAsiaTheme="minorEastAsia"/>
          <w:b/>
          <w:bCs/>
          <w:sz w:val="28"/>
          <w:szCs w:val="28"/>
          <w:u w:val="single"/>
          <w:lang w:val="en-US" w:eastAsia="zh-CN"/>
        </w:rPr>
      </w:pPr>
      <w:r>
        <w:rPr>
          <w:rFonts w:hint="eastAsia" w:cs="宋体"/>
          <w:b/>
          <w:bCs/>
          <w:sz w:val="28"/>
          <w:szCs w:val="28"/>
        </w:rPr>
        <w:t>学</w:t>
      </w:r>
      <w:r>
        <w:rPr>
          <w:b/>
          <w:bCs/>
          <w:sz w:val="28"/>
          <w:szCs w:val="28"/>
        </w:rPr>
        <w:t xml:space="preserve">    </w:t>
      </w:r>
      <w:r>
        <w:rPr>
          <w:rFonts w:hint="eastAsia" w:cs="宋体"/>
          <w:b/>
          <w:bCs/>
          <w:sz w:val="28"/>
          <w:szCs w:val="28"/>
        </w:rPr>
        <w:t>号：</w:t>
      </w:r>
      <w:r>
        <w:rPr>
          <w:b/>
          <w:bCs/>
          <w:sz w:val="28"/>
          <w:szCs w:val="28"/>
          <w:u w:val="single"/>
        </w:rPr>
        <w:t xml:space="preserve">     </w:t>
      </w:r>
      <w:r>
        <w:rPr>
          <w:rFonts w:hint="eastAsia"/>
          <w:b/>
          <w:bCs/>
          <w:sz w:val="28"/>
          <w:szCs w:val="28"/>
          <w:u w:val="single"/>
          <w:lang w:val="en-US" w:eastAsia="zh-CN"/>
        </w:rPr>
        <w:t>0805210102</w:t>
      </w:r>
      <w:r>
        <w:rPr>
          <w:b/>
          <w:bCs/>
          <w:sz w:val="28"/>
          <w:szCs w:val="28"/>
          <w:u w:val="single"/>
        </w:rPr>
        <w:t xml:space="preserve">         </w:t>
      </w:r>
      <w:r>
        <w:rPr>
          <w:rFonts w:hint="eastAsia"/>
          <w:b/>
          <w:bCs/>
          <w:sz w:val="28"/>
          <w:szCs w:val="28"/>
          <w:u w:val="single"/>
          <w:lang w:val="en-US" w:eastAsia="zh-CN"/>
        </w:rPr>
        <w:t xml:space="preserve">        </w:t>
      </w:r>
    </w:p>
    <w:p>
      <w:pPr>
        <w:ind w:firstLine="2015" w:firstLineChars="717"/>
        <w:rPr>
          <w:b/>
          <w:bCs/>
          <w:sz w:val="28"/>
          <w:szCs w:val="28"/>
          <w:u w:val="single"/>
        </w:rPr>
      </w:pPr>
      <w:r>
        <w:rPr>
          <w:rFonts w:hint="eastAsia" w:cs="宋体"/>
          <w:b/>
          <w:bCs/>
          <w:sz w:val="28"/>
          <w:szCs w:val="28"/>
        </w:rPr>
        <w:t>姓</w:t>
      </w:r>
      <w:r>
        <w:rPr>
          <w:b/>
          <w:bCs/>
          <w:sz w:val="28"/>
          <w:szCs w:val="28"/>
        </w:rPr>
        <w:t xml:space="preserve">    </w:t>
      </w:r>
      <w:r>
        <w:rPr>
          <w:rFonts w:hint="eastAsia" w:cs="宋体"/>
          <w:b/>
          <w:bCs/>
          <w:sz w:val="28"/>
          <w:szCs w:val="28"/>
        </w:rPr>
        <w:t>名：</w:t>
      </w:r>
      <w:r>
        <w:rPr>
          <w:b/>
          <w:bCs/>
          <w:sz w:val="28"/>
          <w:szCs w:val="28"/>
          <w:u w:val="single"/>
        </w:rPr>
        <w:t xml:space="preserve">      </w:t>
      </w:r>
      <w:r>
        <w:rPr>
          <w:rFonts w:hint="eastAsia"/>
          <w:b/>
          <w:bCs/>
          <w:sz w:val="28"/>
          <w:szCs w:val="28"/>
          <w:u w:val="single"/>
        </w:rPr>
        <w:t>房雅琦</w:t>
      </w:r>
      <w:r>
        <w:rPr>
          <w:rFonts w:hint="eastAsia"/>
          <w:b/>
          <w:bCs/>
          <w:sz w:val="28"/>
          <w:szCs w:val="28"/>
          <w:u w:val="single"/>
          <w:lang w:val="en-US" w:eastAsia="zh-CN"/>
        </w:rPr>
        <w:t xml:space="preserve">    </w:t>
      </w:r>
      <w:r>
        <w:rPr>
          <w:b/>
          <w:bCs/>
          <w:sz w:val="28"/>
          <w:szCs w:val="28"/>
          <w:u w:val="single"/>
        </w:rPr>
        <w:t xml:space="preserve">      </w:t>
      </w:r>
      <w:r>
        <w:rPr>
          <w:rFonts w:hint="eastAsia"/>
          <w:b/>
          <w:bCs/>
          <w:sz w:val="28"/>
          <w:szCs w:val="28"/>
          <w:u w:val="single"/>
          <w:lang w:val="en-US" w:eastAsia="zh-CN"/>
        </w:rPr>
        <w:t xml:space="preserve">         </w:t>
      </w:r>
      <w:r>
        <w:rPr>
          <w:b/>
          <w:bCs/>
          <w:sz w:val="28"/>
          <w:szCs w:val="28"/>
          <w:u w:val="single"/>
        </w:rPr>
        <w:t xml:space="preserve"> </w:t>
      </w:r>
    </w:p>
    <w:p>
      <w:pPr>
        <w:ind w:firstLine="2015" w:firstLineChars="717"/>
        <w:rPr>
          <w:rFonts w:hint="eastAsia" w:eastAsiaTheme="minorEastAsia"/>
          <w:b/>
          <w:bCs/>
          <w:sz w:val="24"/>
          <w:lang w:val="en-US" w:eastAsia="zh-CN"/>
        </w:rPr>
      </w:pPr>
      <w:r>
        <w:rPr>
          <w:rFonts w:hint="eastAsia" w:cs="宋体"/>
          <w:b/>
          <w:bCs/>
          <w:sz w:val="28"/>
          <w:szCs w:val="28"/>
        </w:rPr>
        <w:t>提交日期：</w:t>
      </w:r>
      <w:r>
        <w:rPr>
          <w:b/>
          <w:bCs/>
          <w:sz w:val="28"/>
          <w:szCs w:val="28"/>
          <w:u w:val="single"/>
        </w:rPr>
        <w:t xml:space="preserve">    </w:t>
      </w:r>
      <w:r>
        <w:rPr>
          <w:rFonts w:hint="eastAsia"/>
          <w:b/>
          <w:bCs/>
          <w:sz w:val="28"/>
          <w:szCs w:val="28"/>
          <w:u w:val="single"/>
          <w:lang w:val="en-US" w:eastAsia="zh-CN"/>
        </w:rPr>
        <w:t xml:space="preserve">   2021/2/19</w:t>
      </w:r>
      <w:r>
        <w:rPr>
          <w:b/>
          <w:bCs/>
          <w:sz w:val="28"/>
          <w:szCs w:val="28"/>
          <w:u w:val="single"/>
        </w:rPr>
        <w:t xml:space="preserve">         </w:t>
      </w:r>
      <w:r>
        <w:rPr>
          <w:rFonts w:hint="eastAsia"/>
          <w:b/>
          <w:bCs/>
          <w:sz w:val="28"/>
          <w:szCs w:val="28"/>
          <w:u w:val="single"/>
          <w:lang w:val="en-US" w:eastAsia="zh-CN"/>
        </w:rPr>
        <w:t xml:space="preserve">   </w:t>
      </w:r>
      <w:r>
        <w:rPr>
          <w:b/>
          <w:bCs/>
          <w:sz w:val="28"/>
          <w:szCs w:val="28"/>
          <w:u w:val="single"/>
        </w:rPr>
        <w:t xml:space="preserve">    </w:t>
      </w:r>
    </w:p>
    <w:p>
      <w:pPr>
        <w:jc w:val="center"/>
        <w:rPr>
          <w:b/>
          <w:bCs/>
          <w:sz w:val="24"/>
        </w:rPr>
      </w:pPr>
    </w:p>
    <w:p>
      <w:pPr>
        <w:rPr>
          <w:sz w:val="24"/>
        </w:rPr>
      </w:pPr>
      <w:r>
        <w:rPr>
          <w:sz w:val="24"/>
        </w:rPr>
        <w:t xml:space="preserve">  </w:t>
      </w:r>
    </w:p>
    <w:p>
      <w:pPr>
        <w:rPr>
          <w:sz w:val="24"/>
        </w:rPr>
      </w:pPr>
    </w:p>
    <w:p>
      <w:pPr>
        <w:ind w:firstLine="900"/>
        <w:jc w:val="center"/>
        <w:rPr>
          <w:sz w:val="24"/>
        </w:rPr>
        <w:sectPr>
          <w:pgSz w:w="11906" w:h="16838"/>
          <w:pgMar w:top="1440" w:right="1247" w:bottom="1440" w:left="1701" w:header="851" w:footer="992" w:gutter="0"/>
          <w:cols w:space="0" w:num="1"/>
          <w:rtlGutter w:val="0"/>
          <w:docGrid w:type="lines" w:linePitch="312" w:charSpace="0"/>
        </w:sectPr>
      </w:pPr>
    </w:p>
    <w:p>
      <w:pPr>
        <w:ind w:firstLine="900"/>
        <w:jc w:val="center"/>
        <w:rPr>
          <w:sz w:val="24"/>
        </w:rPr>
      </w:pPr>
    </w:p>
    <w:p>
      <w:pPr>
        <w:pStyle w:val="2"/>
        <w:tabs>
          <w:tab w:val="left" w:pos="2100"/>
        </w:tabs>
        <w:jc w:val="center"/>
        <w:rPr>
          <w:rFonts w:hint="eastAsia" w:cs="宋体"/>
          <w:b/>
          <w:bCs/>
          <w:spacing w:val="10"/>
          <w:sz w:val="36"/>
          <w:szCs w:val="36"/>
        </w:rPr>
      </w:pPr>
    </w:p>
    <w:p>
      <w:pPr>
        <w:pStyle w:val="2"/>
        <w:tabs>
          <w:tab w:val="left" w:pos="2100"/>
        </w:tabs>
        <w:jc w:val="center"/>
        <w:rPr>
          <w:spacing w:val="10"/>
          <w:sz w:val="24"/>
          <w:szCs w:val="24"/>
        </w:rPr>
      </w:pPr>
      <w:r>
        <w:rPr>
          <w:rFonts w:hint="eastAsia" w:cs="宋体"/>
          <w:b/>
          <w:bCs/>
          <w:spacing w:val="10"/>
          <w:sz w:val="36"/>
          <w:szCs w:val="36"/>
        </w:rPr>
        <w:t>目</w:t>
      </w:r>
      <w:r>
        <w:rPr>
          <w:b/>
          <w:bCs/>
          <w:spacing w:val="10"/>
          <w:sz w:val="36"/>
          <w:szCs w:val="36"/>
        </w:rPr>
        <w:t xml:space="preserve"> </w:t>
      </w:r>
      <w:r>
        <w:rPr>
          <w:rFonts w:hint="eastAsia" w:cs="宋体"/>
          <w:b/>
          <w:bCs/>
          <w:spacing w:val="10"/>
          <w:sz w:val="36"/>
          <w:szCs w:val="36"/>
        </w:rPr>
        <w:t>录</w:t>
      </w:r>
    </w:p>
    <w:sdt>
      <w:sdtPr>
        <w:rPr>
          <w:rFonts w:ascii="宋体" w:hAnsi="宋体" w:eastAsia="宋体" w:cstheme="minorBidi"/>
          <w:kern w:val="2"/>
          <w:sz w:val="21"/>
          <w:szCs w:val="22"/>
          <w:lang w:val="en-US" w:eastAsia="zh-CN" w:bidi="ar-SA"/>
        </w:rPr>
        <w:id w:val="147468099"/>
        <w15:color w:val="DBDBDB"/>
        <w:docPartObj>
          <w:docPartGallery w:val="Table of Contents"/>
          <w:docPartUnique/>
        </w:docPartObj>
      </w:sdtPr>
      <w:sdtEndPr>
        <w:rPr>
          <w:rFonts w:hint="eastAsia" w:ascii="宋体" w:hAnsi="宋体" w:eastAsia="宋体" w:cs="宋体"/>
          <w:spacing w:val="10"/>
          <w:kern w:val="2"/>
          <w:sz w:val="24"/>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eastAsia="宋体"/>
              <w:lang w:eastAsia="zh-CN"/>
            </w:rPr>
          </w:pPr>
          <w:r>
            <w:rPr>
              <w:rFonts w:hint="eastAsia" w:ascii="宋体" w:hAnsi="宋体" w:eastAsia="宋体"/>
              <w:sz w:val="21"/>
              <w:lang w:val="en-US" w:eastAsia="zh-CN"/>
            </w:rPr>
            <w:t xml:space="preserve"> </w:t>
          </w:r>
        </w:p>
        <w:p>
          <w:pPr>
            <w:pStyle w:val="14"/>
            <w:tabs>
              <w:tab w:val="right" w:leader="dot" w:pos="8958"/>
            </w:tabs>
            <w:rPr>
              <w:rFonts w:hint="eastAsia" w:ascii="宋体" w:hAnsi="宋体" w:eastAsia="宋体" w:cs="宋体"/>
              <w:sz w:val="24"/>
              <w:szCs w:val="24"/>
            </w:rPr>
          </w:pPr>
          <w:r>
            <w:rPr>
              <w:rFonts w:hint="eastAsia" w:ascii="宋体" w:hAnsi="宋体" w:eastAsia="宋体" w:cs="宋体"/>
              <w:spacing w:val="10"/>
              <w:sz w:val="24"/>
              <w:szCs w:val="24"/>
            </w:rPr>
            <w:fldChar w:fldCharType="begin"/>
          </w:r>
          <w:r>
            <w:rPr>
              <w:rFonts w:hint="eastAsia" w:ascii="宋体" w:hAnsi="宋体" w:eastAsia="宋体" w:cs="宋体"/>
              <w:spacing w:val="10"/>
              <w:sz w:val="24"/>
              <w:szCs w:val="24"/>
            </w:rPr>
            <w:instrText xml:space="preserve">TOC \o "1-1" \h \u </w:instrText>
          </w:r>
          <w:r>
            <w:rPr>
              <w:rFonts w:hint="eastAsia" w:ascii="宋体" w:hAnsi="宋体" w:eastAsia="宋体" w:cs="宋体"/>
              <w:spacing w:val="10"/>
              <w:sz w:val="24"/>
              <w:szCs w:val="24"/>
            </w:rPr>
            <w:fldChar w:fldCharType="separate"/>
          </w:r>
          <w:r>
            <w:rPr>
              <w:rFonts w:hint="eastAsia" w:ascii="宋体" w:hAnsi="宋体" w:eastAsia="宋体" w:cs="宋体"/>
              <w:spacing w:val="10"/>
              <w:sz w:val="24"/>
              <w:szCs w:val="24"/>
            </w:rPr>
            <w:fldChar w:fldCharType="begin"/>
          </w:r>
          <w:r>
            <w:rPr>
              <w:rFonts w:hint="eastAsia" w:ascii="宋体" w:hAnsi="宋体" w:eastAsia="宋体" w:cs="宋体"/>
              <w:spacing w:val="10"/>
              <w:sz w:val="24"/>
              <w:szCs w:val="24"/>
            </w:rPr>
            <w:instrText xml:space="preserve"> HYPERLINK \l _Toc32284 </w:instrText>
          </w:r>
          <w:r>
            <w:rPr>
              <w:rFonts w:hint="eastAsia" w:ascii="宋体" w:hAnsi="宋体" w:eastAsia="宋体" w:cs="宋体"/>
              <w:spacing w:val="10"/>
              <w:sz w:val="24"/>
              <w:szCs w:val="24"/>
            </w:rPr>
            <w:fldChar w:fldCharType="separate"/>
          </w:r>
          <w:r>
            <w:rPr>
              <w:rFonts w:hint="eastAsia" w:ascii="宋体" w:hAnsi="宋体" w:eastAsia="宋体" w:cs="宋体"/>
              <w:bCs/>
              <w:spacing w:val="10"/>
              <w:sz w:val="24"/>
              <w:szCs w:val="24"/>
            </w:rPr>
            <w:t>正文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_Toc32284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pacing w:val="10"/>
              <w:sz w:val="24"/>
              <w:szCs w:val="24"/>
            </w:rPr>
            <w:fldChar w:fldCharType="end"/>
          </w:r>
        </w:p>
        <w:p>
          <w:pPr>
            <w:pStyle w:val="14"/>
            <w:tabs>
              <w:tab w:val="right" w:leader="dot" w:pos="8958"/>
            </w:tabs>
            <w:rPr>
              <w:rFonts w:hint="eastAsia" w:ascii="宋体" w:hAnsi="宋体" w:eastAsia="宋体" w:cs="宋体"/>
              <w:sz w:val="24"/>
              <w:szCs w:val="24"/>
            </w:rPr>
          </w:pPr>
          <w:r>
            <w:rPr>
              <w:rFonts w:hint="eastAsia" w:ascii="宋体" w:hAnsi="宋体" w:eastAsia="宋体" w:cs="宋体"/>
              <w:spacing w:val="10"/>
              <w:sz w:val="24"/>
              <w:szCs w:val="24"/>
            </w:rPr>
            <w:fldChar w:fldCharType="begin"/>
          </w:r>
          <w:r>
            <w:rPr>
              <w:rFonts w:hint="eastAsia" w:ascii="宋体" w:hAnsi="宋体" w:eastAsia="宋体" w:cs="宋体"/>
              <w:spacing w:val="10"/>
              <w:sz w:val="24"/>
              <w:szCs w:val="24"/>
            </w:rPr>
            <w:instrText xml:space="preserve"> HYPERLINK \l _Toc20431 </w:instrText>
          </w:r>
          <w:r>
            <w:rPr>
              <w:rFonts w:hint="eastAsia" w:ascii="宋体" w:hAnsi="宋体" w:eastAsia="宋体" w:cs="宋体"/>
              <w:spacing w:val="10"/>
              <w:sz w:val="24"/>
              <w:szCs w:val="24"/>
            </w:rPr>
            <w:fldChar w:fldCharType="separate"/>
          </w:r>
          <w:r>
            <w:rPr>
              <w:rFonts w:hint="eastAsia" w:ascii="宋体" w:hAnsi="宋体" w:eastAsia="宋体" w:cs="宋体"/>
              <w:sz w:val="24"/>
              <w:szCs w:val="24"/>
            </w:rPr>
            <w:t>一、调查背景与目的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_Toc20431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pacing w:val="10"/>
              <w:sz w:val="24"/>
              <w:szCs w:val="24"/>
            </w:rPr>
            <w:fldChar w:fldCharType="end"/>
          </w:r>
        </w:p>
        <w:p>
          <w:pPr>
            <w:pStyle w:val="14"/>
            <w:tabs>
              <w:tab w:val="right" w:leader="dot" w:pos="8958"/>
            </w:tabs>
            <w:rPr>
              <w:rFonts w:hint="eastAsia" w:ascii="宋体" w:hAnsi="宋体" w:eastAsia="宋体" w:cs="宋体"/>
              <w:sz w:val="24"/>
              <w:szCs w:val="24"/>
            </w:rPr>
          </w:pPr>
          <w:r>
            <w:rPr>
              <w:rFonts w:hint="eastAsia" w:ascii="宋体" w:hAnsi="宋体" w:eastAsia="宋体" w:cs="宋体"/>
              <w:spacing w:val="10"/>
              <w:sz w:val="24"/>
              <w:szCs w:val="24"/>
            </w:rPr>
            <w:fldChar w:fldCharType="begin"/>
          </w:r>
          <w:r>
            <w:rPr>
              <w:rFonts w:hint="eastAsia" w:ascii="宋体" w:hAnsi="宋体" w:eastAsia="宋体" w:cs="宋体"/>
              <w:spacing w:val="10"/>
              <w:sz w:val="24"/>
              <w:szCs w:val="24"/>
            </w:rPr>
            <w:instrText xml:space="preserve"> HYPERLINK \l _Toc18093 </w:instrText>
          </w:r>
          <w:r>
            <w:rPr>
              <w:rFonts w:hint="eastAsia" w:ascii="宋体" w:hAnsi="宋体" w:eastAsia="宋体" w:cs="宋体"/>
              <w:spacing w:val="10"/>
              <w:sz w:val="24"/>
              <w:szCs w:val="24"/>
            </w:rPr>
            <w:fldChar w:fldCharType="separate"/>
          </w:r>
          <w:r>
            <w:rPr>
              <w:rFonts w:hint="eastAsia" w:ascii="宋体" w:hAnsi="宋体" w:eastAsia="宋体" w:cs="宋体"/>
              <w:sz w:val="24"/>
              <w:szCs w:val="24"/>
            </w:rPr>
            <w:t>二、调查的意义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_Toc18093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pacing w:val="10"/>
              <w:sz w:val="24"/>
              <w:szCs w:val="24"/>
            </w:rPr>
            <w:fldChar w:fldCharType="end"/>
          </w:r>
        </w:p>
        <w:p>
          <w:pPr>
            <w:pStyle w:val="14"/>
            <w:tabs>
              <w:tab w:val="right" w:leader="dot" w:pos="8958"/>
            </w:tabs>
            <w:rPr>
              <w:rFonts w:hint="eastAsia" w:ascii="宋体" w:hAnsi="宋体" w:eastAsia="宋体" w:cs="宋体"/>
              <w:sz w:val="24"/>
              <w:szCs w:val="24"/>
            </w:rPr>
          </w:pPr>
          <w:r>
            <w:rPr>
              <w:rFonts w:hint="eastAsia" w:ascii="宋体" w:hAnsi="宋体" w:eastAsia="宋体" w:cs="宋体"/>
              <w:spacing w:val="10"/>
              <w:sz w:val="24"/>
              <w:szCs w:val="24"/>
            </w:rPr>
            <w:fldChar w:fldCharType="begin"/>
          </w:r>
          <w:r>
            <w:rPr>
              <w:rFonts w:hint="eastAsia" w:ascii="宋体" w:hAnsi="宋体" w:eastAsia="宋体" w:cs="宋体"/>
              <w:spacing w:val="10"/>
              <w:sz w:val="24"/>
              <w:szCs w:val="24"/>
            </w:rPr>
            <w:instrText xml:space="preserve"> HYPERLINK \l _Toc12894 </w:instrText>
          </w:r>
          <w:r>
            <w:rPr>
              <w:rFonts w:hint="eastAsia" w:ascii="宋体" w:hAnsi="宋体" w:eastAsia="宋体" w:cs="宋体"/>
              <w:spacing w:val="10"/>
              <w:sz w:val="24"/>
              <w:szCs w:val="24"/>
            </w:rPr>
            <w:fldChar w:fldCharType="separate"/>
          </w:r>
          <w:r>
            <w:rPr>
              <w:rFonts w:hint="eastAsia" w:ascii="宋体" w:hAnsi="宋体" w:eastAsia="宋体" w:cs="宋体"/>
              <w:sz w:val="24"/>
              <w:szCs w:val="24"/>
              <w:lang w:eastAsia="zh-CN"/>
            </w:rPr>
            <w:t>三</w:t>
          </w:r>
          <w:r>
            <w:rPr>
              <w:rFonts w:hint="eastAsia" w:ascii="宋体" w:hAnsi="宋体" w:eastAsia="宋体" w:cs="宋体"/>
              <w:sz w:val="24"/>
              <w:szCs w:val="24"/>
            </w:rPr>
            <w:t>、</w:t>
          </w:r>
          <w:r>
            <w:rPr>
              <w:rFonts w:hint="eastAsia" w:ascii="宋体" w:hAnsi="宋体" w:eastAsia="宋体" w:cs="宋体"/>
              <w:sz w:val="24"/>
              <w:szCs w:val="24"/>
            </w:rPr>
            <w:t>调查方法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_Toc12894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pacing w:val="10"/>
              <w:sz w:val="24"/>
              <w:szCs w:val="24"/>
            </w:rPr>
            <w:fldChar w:fldCharType="end"/>
          </w:r>
        </w:p>
        <w:p>
          <w:pPr>
            <w:pStyle w:val="14"/>
            <w:tabs>
              <w:tab w:val="right" w:leader="dot" w:pos="8958"/>
            </w:tabs>
            <w:rPr>
              <w:rFonts w:hint="eastAsia" w:ascii="宋体" w:hAnsi="宋体" w:eastAsia="宋体" w:cs="宋体"/>
              <w:sz w:val="24"/>
              <w:szCs w:val="24"/>
            </w:rPr>
          </w:pPr>
          <w:r>
            <w:rPr>
              <w:rFonts w:hint="eastAsia" w:ascii="宋体" w:hAnsi="宋体" w:eastAsia="宋体" w:cs="宋体"/>
              <w:spacing w:val="10"/>
              <w:sz w:val="24"/>
              <w:szCs w:val="24"/>
            </w:rPr>
            <w:fldChar w:fldCharType="begin"/>
          </w:r>
          <w:r>
            <w:rPr>
              <w:rFonts w:hint="eastAsia" w:ascii="宋体" w:hAnsi="宋体" w:eastAsia="宋体" w:cs="宋体"/>
              <w:spacing w:val="10"/>
              <w:sz w:val="24"/>
              <w:szCs w:val="24"/>
            </w:rPr>
            <w:instrText xml:space="preserve"> HYPERLINK \l _Toc478 </w:instrText>
          </w:r>
          <w:r>
            <w:rPr>
              <w:rFonts w:hint="eastAsia" w:ascii="宋体" w:hAnsi="宋体" w:eastAsia="宋体" w:cs="宋体"/>
              <w:spacing w:val="10"/>
              <w:sz w:val="24"/>
              <w:szCs w:val="24"/>
            </w:rPr>
            <w:fldChar w:fldCharType="separate"/>
          </w:r>
          <w:r>
            <w:rPr>
              <w:rFonts w:hint="eastAsia" w:ascii="宋体" w:hAnsi="宋体" w:eastAsia="宋体" w:cs="宋体"/>
              <w:sz w:val="24"/>
              <w:szCs w:val="24"/>
              <w:lang w:eastAsia="zh-CN"/>
            </w:rPr>
            <w:t>四</w:t>
          </w:r>
          <w:r>
            <w:rPr>
              <w:rFonts w:hint="eastAsia" w:ascii="宋体" w:hAnsi="宋体" w:eastAsia="宋体" w:cs="宋体"/>
              <w:sz w:val="24"/>
              <w:szCs w:val="24"/>
            </w:rPr>
            <w:t>、</w:t>
          </w:r>
          <w:r>
            <w:rPr>
              <w:rFonts w:hint="eastAsia" w:ascii="宋体" w:hAnsi="宋体" w:eastAsia="宋体" w:cs="宋体"/>
              <w:sz w:val="24"/>
              <w:szCs w:val="24"/>
            </w:rPr>
            <w:t>老年人生活现状描述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_Toc478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pacing w:val="10"/>
              <w:sz w:val="24"/>
              <w:szCs w:val="24"/>
            </w:rPr>
            <w:fldChar w:fldCharType="end"/>
          </w:r>
        </w:p>
        <w:p>
          <w:pPr>
            <w:pStyle w:val="14"/>
            <w:tabs>
              <w:tab w:val="right" w:leader="dot" w:pos="8958"/>
            </w:tabs>
            <w:rPr>
              <w:rFonts w:hint="eastAsia" w:ascii="宋体" w:hAnsi="宋体" w:eastAsia="宋体" w:cs="宋体"/>
              <w:sz w:val="24"/>
              <w:szCs w:val="24"/>
            </w:rPr>
          </w:pPr>
          <w:r>
            <w:rPr>
              <w:rFonts w:hint="eastAsia" w:ascii="宋体" w:hAnsi="宋体" w:eastAsia="宋体" w:cs="宋体"/>
              <w:spacing w:val="10"/>
              <w:sz w:val="24"/>
              <w:szCs w:val="24"/>
            </w:rPr>
            <w:fldChar w:fldCharType="begin"/>
          </w:r>
          <w:r>
            <w:rPr>
              <w:rFonts w:hint="eastAsia" w:ascii="宋体" w:hAnsi="宋体" w:eastAsia="宋体" w:cs="宋体"/>
              <w:spacing w:val="10"/>
              <w:sz w:val="24"/>
              <w:szCs w:val="24"/>
            </w:rPr>
            <w:instrText xml:space="preserve"> HYPERLINK \l _Toc4439 </w:instrText>
          </w:r>
          <w:r>
            <w:rPr>
              <w:rFonts w:hint="eastAsia" w:ascii="宋体" w:hAnsi="宋体" w:eastAsia="宋体" w:cs="宋体"/>
              <w:spacing w:val="10"/>
              <w:sz w:val="24"/>
              <w:szCs w:val="24"/>
            </w:rPr>
            <w:fldChar w:fldCharType="separate"/>
          </w:r>
          <w:r>
            <w:rPr>
              <w:rFonts w:hint="eastAsia" w:ascii="宋体" w:hAnsi="宋体" w:eastAsia="宋体" w:cs="宋体"/>
              <w:sz w:val="24"/>
              <w:szCs w:val="24"/>
              <w:lang w:val="en-US" w:eastAsia="zh-CN"/>
            </w:rPr>
            <w:t>五</w:t>
          </w:r>
          <w:r>
            <w:rPr>
              <w:rFonts w:hint="eastAsia" w:ascii="宋体" w:hAnsi="宋体" w:eastAsia="宋体" w:cs="宋体"/>
              <w:sz w:val="24"/>
              <w:szCs w:val="24"/>
            </w:rPr>
            <w:t>、</w:t>
          </w:r>
          <w:r>
            <w:rPr>
              <w:rFonts w:hint="eastAsia" w:ascii="宋体" w:hAnsi="宋体" w:eastAsia="宋体" w:cs="宋体"/>
              <w:sz w:val="24"/>
              <w:szCs w:val="24"/>
            </w:rPr>
            <w:t>对策建议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_Toc4439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pacing w:val="10"/>
              <w:sz w:val="24"/>
              <w:szCs w:val="24"/>
            </w:rPr>
            <w:fldChar w:fldCharType="end"/>
          </w:r>
        </w:p>
        <w:p>
          <w:pPr>
            <w:pStyle w:val="2"/>
            <w:tabs>
              <w:tab w:val="left" w:pos="2100"/>
            </w:tabs>
            <w:rPr>
              <w:rFonts w:hint="eastAsia" w:ascii="宋体" w:hAnsi="宋体" w:eastAsia="宋体" w:cs="宋体"/>
              <w:spacing w:val="10"/>
              <w:sz w:val="24"/>
              <w:szCs w:val="24"/>
            </w:rPr>
          </w:pPr>
          <w:r>
            <w:rPr>
              <w:rFonts w:hint="eastAsia" w:ascii="宋体" w:hAnsi="宋体" w:eastAsia="宋体" w:cs="宋体"/>
              <w:spacing w:val="10"/>
              <w:sz w:val="24"/>
              <w:szCs w:val="24"/>
            </w:rPr>
            <w:fldChar w:fldCharType="end"/>
          </w:r>
        </w:p>
      </w:sdtContent>
    </w:sdt>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ind w:firstLine="3799" w:firstLineChars="996"/>
        <w:rPr>
          <w:rFonts w:cs="宋体"/>
          <w:b/>
          <w:bCs/>
          <w:spacing w:val="10"/>
          <w:sz w:val="36"/>
          <w:szCs w:val="36"/>
        </w:rPr>
      </w:pPr>
    </w:p>
    <w:p>
      <w:pPr>
        <w:pStyle w:val="2"/>
        <w:tabs>
          <w:tab w:val="left" w:pos="2100"/>
        </w:tabs>
        <w:ind w:firstLine="3799" w:firstLineChars="996"/>
        <w:rPr>
          <w:rFonts w:hint="eastAsia" w:cs="宋体"/>
          <w:b/>
          <w:bCs/>
          <w:spacing w:val="10"/>
          <w:sz w:val="36"/>
          <w:szCs w:val="36"/>
        </w:rPr>
        <w:sectPr>
          <w:footerReference r:id="rId3" w:type="default"/>
          <w:pgSz w:w="11906" w:h="16838"/>
          <w:pgMar w:top="1440" w:right="1247" w:bottom="1440" w:left="1701" w:header="851" w:footer="992" w:gutter="0"/>
          <w:pgNumType w:start="1"/>
          <w:cols w:space="0" w:num="1"/>
          <w:rtlGutter w:val="0"/>
          <w:docGrid w:type="lines" w:linePitch="312" w:charSpace="0"/>
        </w:sectPr>
      </w:pPr>
    </w:p>
    <w:p>
      <w:pPr>
        <w:pStyle w:val="2"/>
        <w:tabs>
          <w:tab w:val="left" w:pos="2100"/>
        </w:tabs>
        <w:ind w:firstLine="3799" w:firstLineChars="996"/>
        <w:rPr>
          <w:rFonts w:hint="eastAsia" w:cs="宋体"/>
          <w:b/>
          <w:bCs/>
          <w:spacing w:val="10"/>
          <w:sz w:val="36"/>
          <w:szCs w:val="36"/>
        </w:rPr>
      </w:pPr>
    </w:p>
    <w:p>
      <w:pPr>
        <w:pStyle w:val="2"/>
        <w:tabs>
          <w:tab w:val="left" w:pos="2100"/>
        </w:tabs>
        <w:ind w:firstLine="3799" w:firstLineChars="996"/>
        <w:outlineLvl w:val="0"/>
        <w:rPr>
          <w:b/>
          <w:bCs/>
          <w:spacing w:val="10"/>
          <w:sz w:val="36"/>
          <w:szCs w:val="36"/>
        </w:rPr>
      </w:pPr>
      <w:bookmarkStart w:id="0" w:name="_Toc14962"/>
      <w:bookmarkStart w:id="1" w:name="_Toc32284"/>
      <w:r>
        <w:rPr>
          <w:rFonts w:hint="eastAsia" w:cs="宋体"/>
          <w:b/>
          <w:bCs/>
          <w:spacing w:val="10"/>
          <w:sz w:val="36"/>
          <w:szCs w:val="36"/>
        </w:rPr>
        <w:t>正文</w:t>
      </w:r>
      <w:bookmarkEnd w:id="0"/>
      <w:bookmarkEnd w:id="1"/>
    </w:p>
    <w:p>
      <w:pPr>
        <w:pStyle w:val="2"/>
        <w:tabs>
          <w:tab w:val="left" w:pos="2100"/>
        </w:tabs>
        <w:rPr>
          <w:rFonts w:ascii="宋体" w:hAnsi="宋体" w:cs="宋体"/>
          <w:b/>
          <w:bCs/>
          <w:spacing w:val="10"/>
          <w:sz w:val="24"/>
          <w:szCs w:val="24"/>
        </w:rPr>
      </w:pPr>
    </w:p>
    <w:p>
      <w:pPr>
        <w:bidi w:val="0"/>
        <w:outlineLvl w:val="0"/>
        <w:rPr>
          <w:rFonts w:hint="eastAsia" w:ascii="宋体" w:hAnsi="宋体" w:eastAsia="宋体" w:cs="宋体"/>
          <w:sz w:val="28"/>
          <w:szCs w:val="28"/>
        </w:rPr>
      </w:pPr>
      <w:bookmarkStart w:id="2" w:name="_Toc20431"/>
      <w:r>
        <w:rPr>
          <w:rFonts w:hint="eastAsia" w:ascii="宋体" w:hAnsi="宋体" w:eastAsia="宋体" w:cs="宋体"/>
          <w:sz w:val="28"/>
          <w:szCs w:val="28"/>
        </w:rPr>
        <w:t>一、调查背景与目的</w:t>
      </w:r>
      <w:bookmarkEnd w:id="2"/>
    </w:p>
    <w:p>
      <w:pPr>
        <w:bidi w:val="0"/>
        <w:ind w:firstLine="560" w:firstLineChars="200"/>
        <w:rPr>
          <w:rFonts w:hint="eastAsia" w:ascii="宋体" w:hAnsi="宋体" w:eastAsia="宋体" w:cs="宋体"/>
          <w:sz w:val="28"/>
          <w:szCs w:val="28"/>
        </w:rPr>
      </w:pPr>
      <w:r>
        <w:rPr>
          <w:rFonts w:hint="eastAsia" w:ascii="宋体" w:hAnsi="宋体" w:eastAsia="宋体" w:cs="宋体"/>
          <w:sz w:val="28"/>
          <w:szCs w:val="28"/>
        </w:rPr>
        <w:t>人口老龄化是二十一世纪最突出的社会现象。目前我国60岁以上的老年人有1.3亿，预计21世纪中叶将达到4亿左右。这表明，老龄问题已成为世界范围的大事，应受到全世界普遍关注和重视。我国的退休人数逐年增加，退休老年人由于技能衰弱，社会角色的改变，在生活的某些方面也存在着显著的问题，这是值得关注的现状。“尊老、爱老、敬老”是中华民族传统美德，让每一个老人“老有所养、老有所乐”是全社会义不容辞的责任。切实关心这部分老年人的晚年生活，让他们健康快乐度过自己的晚年，这既是社会主义制度优越性的重要体现，也是社会文明程度的主要标志。为此，笔者于2012年1月对</w:t>
      </w:r>
      <w:r>
        <w:rPr>
          <w:rFonts w:hint="eastAsia" w:ascii="宋体" w:hAnsi="宋体" w:eastAsia="宋体" w:cs="宋体"/>
          <w:sz w:val="28"/>
          <w:szCs w:val="28"/>
          <w:lang w:eastAsia="zh-CN"/>
        </w:rPr>
        <w:t>大埔县银江镇</w:t>
      </w:r>
      <w:r>
        <w:rPr>
          <w:rFonts w:hint="eastAsia" w:ascii="宋体" w:hAnsi="宋体" w:eastAsia="宋体" w:cs="宋体"/>
          <w:sz w:val="28"/>
          <w:szCs w:val="28"/>
        </w:rPr>
        <w:t>农业银行单位宿舍10个单元进行了调查。调查以问卷形式为主，并辅之以访谈。共发放问卷50份，回收有效问卷50份，回收率为100%。</w:t>
      </w:r>
    </w:p>
    <w:p>
      <w:pPr>
        <w:bidi w:val="0"/>
        <w:outlineLvl w:val="0"/>
        <w:rPr>
          <w:rFonts w:hint="eastAsia" w:ascii="宋体" w:hAnsi="宋体" w:eastAsia="宋体" w:cs="宋体"/>
          <w:sz w:val="28"/>
          <w:szCs w:val="28"/>
        </w:rPr>
      </w:pPr>
      <w:bookmarkStart w:id="3" w:name="_Toc18093"/>
      <w:r>
        <w:rPr>
          <w:rFonts w:hint="eastAsia" w:ascii="宋体" w:hAnsi="宋体" w:eastAsia="宋体" w:cs="宋体"/>
          <w:sz w:val="28"/>
          <w:szCs w:val="28"/>
        </w:rPr>
        <w:t>二、调查的意义</w:t>
      </w:r>
      <w:bookmarkEnd w:id="3"/>
      <w:r>
        <w:rPr>
          <w:rFonts w:hint="eastAsia" w:ascii="宋体" w:hAnsi="宋体" w:eastAsia="宋体" w:cs="宋体"/>
          <w:sz w:val="28"/>
          <w:szCs w:val="28"/>
        </w:rPr>
        <w:br w:type="textWrapping"/>
      </w:r>
      <w:r>
        <w:rPr>
          <w:rFonts w:hint="eastAsia" w:ascii="宋体" w:hAnsi="宋体" w:eastAsia="宋体" w:cs="宋体"/>
          <w:sz w:val="28"/>
          <w:szCs w:val="28"/>
        </w:rPr>
        <w:t>     通过调查可以了解老年人在生活方面的需求，再采取一些有效的措施为他们度过一个幸福愉快的晚年创造条件，为我国老龄事业的开展提供依据，通过对老年人和年轻人关系的研究，找出两代人思想、生活方式的差异，可以更好的加强两带人的沟通，使关系变的融洽，同时也可以进一步的弘扬尊老爱幼的社会风尚，建立尊重和维护老年人合法权益的文化环境为精神动力，加强观念文化建设。</w:t>
      </w:r>
    </w:p>
    <w:p>
      <w:pPr>
        <w:bidi w:val="0"/>
        <w:rPr>
          <w:rFonts w:hint="eastAsia" w:ascii="宋体" w:hAnsi="宋体" w:eastAsia="宋体" w:cs="宋体"/>
          <w:sz w:val="28"/>
          <w:szCs w:val="28"/>
        </w:rPr>
      </w:pPr>
    </w:p>
    <w:p>
      <w:pPr>
        <w:bidi w:val="0"/>
        <w:outlineLvl w:val="0"/>
        <w:rPr>
          <w:rFonts w:hint="eastAsia" w:ascii="宋体" w:hAnsi="宋体" w:eastAsia="宋体" w:cs="宋体"/>
          <w:sz w:val="28"/>
          <w:szCs w:val="28"/>
        </w:rPr>
      </w:pPr>
      <w:bookmarkStart w:id="4" w:name="_Toc12894"/>
      <w:r>
        <w:rPr>
          <w:rFonts w:hint="eastAsia" w:ascii="宋体" w:hAnsi="宋体" w:eastAsia="宋体" w:cs="宋体"/>
          <w:sz w:val="28"/>
          <w:szCs w:val="28"/>
          <w:lang w:eastAsia="zh-CN"/>
        </w:rPr>
        <w:t>三</w:t>
      </w:r>
      <w:r>
        <w:rPr>
          <w:rFonts w:hint="eastAsia" w:ascii="宋体" w:hAnsi="宋体" w:eastAsia="宋体" w:cs="宋体"/>
          <w:sz w:val="28"/>
          <w:szCs w:val="28"/>
        </w:rPr>
        <w:t>、</w:t>
      </w:r>
      <w:r>
        <w:rPr>
          <w:rFonts w:hint="eastAsia" w:ascii="宋体" w:hAnsi="宋体" w:eastAsia="宋体" w:cs="宋体"/>
          <w:sz w:val="28"/>
          <w:szCs w:val="28"/>
        </w:rPr>
        <w:t xml:space="preserve"> 调查方法</w:t>
      </w:r>
      <w:bookmarkEnd w:id="4"/>
    </w:p>
    <w:p>
      <w:pPr>
        <w:bidi w:val="0"/>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、研究对象（样本情况）</w:t>
      </w:r>
    </w:p>
    <w:p>
      <w:pPr>
        <w:bidi w:val="0"/>
        <w:rPr>
          <w:rFonts w:hint="eastAsia" w:ascii="宋体" w:hAnsi="宋体" w:eastAsia="宋体" w:cs="宋体"/>
          <w:sz w:val="28"/>
          <w:szCs w:val="28"/>
        </w:rPr>
      </w:pPr>
      <w:r>
        <w:rPr>
          <w:rFonts w:hint="eastAsia" w:ascii="宋体" w:hAnsi="宋体" w:eastAsia="宋体" w:cs="宋体"/>
          <w:sz w:val="28"/>
          <w:szCs w:val="28"/>
        </w:rPr>
        <w:t>农业银行单位宿舍60岁以上的老年人；</w:t>
      </w:r>
    </w:p>
    <w:p>
      <w:pPr>
        <w:bidi w:val="0"/>
        <w:rPr>
          <w:rFonts w:hint="eastAsia" w:ascii="宋体" w:hAnsi="宋体" w:eastAsia="宋体" w:cs="宋体"/>
          <w:sz w:val="28"/>
          <w:szCs w:val="28"/>
        </w:rPr>
      </w:pPr>
      <w:r>
        <w:rPr>
          <w:rFonts w:hint="eastAsia" w:ascii="宋体" w:hAnsi="宋体" w:eastAsia="宋体" w:cs="宋体"/>
          <w:sz w:val="28"/>
          <w:szCs w:val="28"/>
        </w:rPr>
        <w:t>年龄性别构成：</w:t>
      </w:r>
    </w:p>
    <w:p>
      <w:pPr>
        <w:bidi w:val="0"/>
        <w:rPr>
          <w:rFonts w:hint="eastAsia" w:ascii="宋体" w:hAnsi="宋体" w:eastAsia="宋体" w:cs="宋体"/>
          <w:sz w:val="28"/>
          <w:szCs w:val="28"/>
        </w:rPr>
      </w:pPr>
      <w:r>
        <w:rPr>
          <w:rFonts w:hint="eastAsia" w:ascii="宋体" w:hAnsi="宋体" w:eastAsia="宋体" w:cs="宋体"/>
          <w:sz w:val="28"/>
          <w:szCs w:val="28"/>
        </w:rPr>
        <w:t>   </w:t>
      </w:r>
    </w:p>
    <w:tbl>
      <w:tblPr>
        <w:tblStyle w:val="7"/>
        <w:tblpPr w:leftFromText="180" w:rightFromText="180" w:vertAnchor="text" w:tblpY="1"/>
        <w:tblW w:w="5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496"/>
        <w:gridCol w:w="916"/>
        <w:gridCol w:w="496"/>
        <w:gridCol w:w="916"/>
        <w:gridCol w:w="496"/>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056" w:type="dxa"/>
            <w:vMerge w:val="restart"/>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年龄</w:t>
            </w:r>
          </w:p>
          <w:p>
            <w:pPr>
              <w:bidi w:val="0"/>
              <w:rPr>
                <w:rFonts w:hint="eastAsia" w:ascii="宋体" w:hAnsi="宋体" w:eastAsia="宋体" w:cs="宋体"/>
                <w:sz w:val="24"/>
                <w:szCs w:val="24"/>
              </w:rPr>
            </w:pPr>
            <w:r>
              <w:rPr>
                <w:rFonts w:hint="eastAsia" w:ascii="宋体" w:hAnsi="宋体" w:eastAsia="宋体" w:cs="宋体"/>
                <w:sz w:val="24"/>
                <w:szCs w:val="24"/>
              </w:rPr>
              <w:t>（岁）</w:t>
            </w:r>
          </w:p>
        </w:tc>
        <w:tc>
          <w:tcPr>
            <w:tcW w:w="1412" w:type="dxa"/>
            <w:gridSpan w:val="2"/>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男</w:t>
            </w:r>
          </w:p>
        </w:tc>
        <w:tc>
          <w:tcPr>
            <w:tcW w:w="1412" w:type="dxa"/>
            <w:gridSpan w:val="2"/>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女</w:t>
            </w:r>
          </w:p>
        </w:tc>
        <w:tc>
          <w:tcPr>
            <w:tcW w:w="1412" w:type="dxa"/>
            <w:gridSpan w:val="2"/>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056" w:type="dxa"/>
            <w:vMerge w:val="continue"/>
            <w:noWrap w:val="0"/>
            <w:vAlign w:val="top"/>
          </w:tcPr>
          <w:p>
            <w:pPr>
              <w:bidi w:val="0"/>
              <w:rPr>
                <w:rFonts w:hint="eastAsia" w:ascii="宋体" w:hAnsi="宋体" w:eastAsia="宋体" w:cs="宋体"/>
                <w:sz w:val="24"/>
                <w:szCs w:val="24"/>
              </w:rPr>
            </w:pPr>
          </w:p>
        </w:tc>
        <w:tc>
          <w:tcPr>
            <w:tcW w:w="496" w:type="dxa"/>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人数</w:t>
            </w:r>
          </w:p>
        </w:tc>
        <w:tc>
          <w:tcPr>
            <w:tcW w:w="916" w:type="dxa"/>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w:t>
            </w:r>
          </w:p>
        </w:tc>
        <w:tc>
          <w:tcPr>
            <w:tcW w:w="496" w:type="dxa"/>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人数</w:t>
            </w:r>
          </w:p>
        </w:tc>
        <w:tc>
          <w:tcPr>
            <w:tcW w:w="916" w:type="dxa"/>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w:t>
            </w:r>
          </w:p>
        </w:tc>
        <w:tc>
          <w:tcPr>
            <w:tcW w:w="496" w:type="dxa"/>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人数</w:t>
            </w:r>
          </w:p>
        </w:tc>
        <w:tc>
          <w:tcPr>
            <w:tcW w:w="916" w:type="dxa"/>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056" w:type="dxa"/>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60-65</w:t>
            </w:r>
          </w:p>
        </w:tc>
        <w:tc>
          <w:tcPr>
            <w:tcW w:w="496" w:type="dxa"/>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3</w:t>
            </w:r>
          </w:p>
        </w:tc>
        <w:tc>
          <w:tcPr>
            <w:tcW w:w="916" w:type="dxa"/>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13.6</w:t>
            </w:r>
          </w:p>
        </w:tc>
        <w:tc>
          <w:tcPr>
            <w:tcW w:w="496" w:type="dxa"/>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3</w:t>
            </w:r>
          </w:p>
        </w:tc>
        <w:tc>
          <w:tcPr>
            <w:tcW w:w="916" w:type="dxa"/>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10.7</w:t>
            </w:r>
          </w:p>
        </w:tc>
        <w:tc>
          <w:tcPr>
            <w:tcW w:w="496" w:type="dxa"/>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6</w:t>
            </w:r>
          </w:p>
        </w:tc>
        <w:tc>
          <w:tcPr>
            <w:tcW w:w="916" w:type="dxa"/>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056" w:type="dxa"/>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66-70</w:t>
            </w:r>
          </w:p>
        </w:tc>
        <w:tc>
          <w:tcPr>
            <w:tcW w:w="496" w:type="dxa"/>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10</w:t>
            </w:r>
          </w:p>
        </w:tc>
        <w:tc>
          <w:tcPr>
            <w:tcW w:w="916" w:type="dxa"/>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45.5</w:t>
            </w:r>
          </w:p>
        </w:tc>
        <w:tc>
          <w:tcPr>
            <w:tcW w:w="496" w:type="dxa"/>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12</w:t>
            </w:r>
          </w:p>
        </w:tc>
        <w:tc>
          <w:tcPr>
            <w:tcW w:w="916" w:type="dxa"/>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42.9</w:t>
            </w:r>
          </w:p>
        </w:tc>
        <w:tc>
          <w:tcPr>
            <w:tcW w:w="496" w:type="dxa"/>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22</w:t>
            </w:r>
          </w:p>
        </w:tc>
        <w:tc>
          <w:tcPr>
            <w:tcW w:w="916" w:type="dxa"/>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056" w:type="dxa"/>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71-75</w:t>
            </w:r>
          </w:p>
        </w:tc>
        <w:tc>
          <w:tcPr>
            <w:tcW w:w="496" w:type="dxa"/>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6</w:t>
            </w:r>
          </w:p>
        </w:tc>
        <w:tc>
          <w:tcPr>
            <w:tcW w:w="916" w:type="dxa"/>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27.3</w:t>
            </w:r>
          </w:p>
        </w:tc>
        <w:tc>
          <w:tcPr>
            <w:tcW w:w="496" w:type="dxa"/>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8</w:t>
            </w:r>
          </w:p>
        </w:tc>
        <w:tc>
          <w:tcPr>
            <w:tcW w:w="916" w:type="dxa"/>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28.5</w:t>
            </w:r>
          </w:p>
        </w:tc>
        <w:tc>
          <w:tcPr>
            <w:tcW w:w="496" w:type="dxa"/>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14</w:t>
            </w:r>
          </w:p>
        </w:tc>
        <w:tc>
          <w:tcPr>
            <w:tcW w:w="916" w:type="dxa"/>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056" w:type="dxa"/>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76以上</w:t>
            </w:r>
          </w:p>
        </w:tc>
        <w:tc>
          <w:tcPr>
            <w:tcW w:w="496" w:type="dxa"/>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3</w:t>
            </w:r>
          </w:p>
        </w:tc>
        <w:tc>
          <w:tcPr>
            <w:tcW w:w="916" w:type="dxa"/>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13.6</w:t>
            </w:r>
          </w:p>
        </w:tc>
        <w:tc>
          <w:tcPr>
            <w:tcW w:w="496" w:type="dxa"/>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5</w:t>
            </w:r>
          </w:p>
        </w:tc>
        <w:tc>
          <w:tcPr>
            <w:tcW w:w="916" w:type="dxa"/>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17.9</w:t>
            </w:r>
          </w:p>
        </w:tc>
        <w:tc>
          <w:tcPr>
            <w:tcW w:w="496" w:type="dxa"/>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8</w:t>
            </w:r>
          </w:p>
        </w:tc>
        <w:tc>
          <w:tcPr>
            <w:tcW w:w="916" w:type="dxa"/>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056" w:type="dxa"/>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合计</w:t>
            </w:r>
          </w:p>
        </w:tc>
        <w:tc>
          <w:tcPr>
            <w:tcW w:w="496" w:type="dxa"/>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22</w:t>
            </w:r>
          </w:p>
        </w:tc>
        <w:tc>
          <w:tcPr>
            <w:tcW w:w="916" w:type="dxa"/>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100.0</w:t>
            </w:r>
          </w:p>
        </w:tc>
        <w:tc>
          <w:tcPr>
            <w:tcW w:w="496" w:type="dxa"/>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28</w:t>
            </w:r>
          </w:p>
        </w:tc>
        <w:tc>
          <w:tcPr>
            <w:tcW w:w="916" w:type="dxa"/>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100.0</w:t>
            </w:r>
          </w:p>
        </w:tc>
        <w:tc>
          <w:tcPr>
            <w:tcW w:w="496" w:type="dxa"/>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50</w:t>
            </w:r>
          </w:p>
        </w:tc>
        <w:tc>
          <w:tcPr>
            <w:tcW w:w="916" w:type="dxa"/>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100.0</w:t>
            </w:r>
          </w:p>
        </w:tc>
      </w:tr>
    </w:tbl>
    <w:tbl>
      <w:tblPr>
        <w:tblStyle w:val="7"/>
        <w:tblpPr w:leftFromText="180" w:rightFromText="180" w:vertAnchor="text" w:horzAnchor="margin" w:tblpXSpec="right" w:tblpY="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3"/>
        <w:gridCol w:w="1608"/>
        <w:gridCol w:w="14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类别</w:t>
            </w:r>
          </w:p>
        </w:tc>
        <w:tc>
          <w:tcPr>
            <w:tcW w:w="160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性质</w:t>
            </w:r>
          </w:p>
        </w:tc>
        <w:tc>
          <w:tcPr>
            <w:tcW w:w="146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比重（%）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文</w:t>
            </w:r>
          </w:p>
          <w:p>
            <w:pPr>
              <w:bidi w:val="0"/>
              <w:rPr>
                <w:rFonts w:hint="eastAsia" w:ascii="宋体" w:hAnsi="宋体" w:eastAsia="宋体" w:cs="宋体"/>
                <w:sz w:val="24"/>
                <w:szCs w:val="24"/>
              </w:rPr>
            </w:pPr>
            <w:r>
              <w:rPr>
                <w:rFonts w:hint="eastAsia" w:ascii="宋体" w:hAnsi="宋体" w:eastAsia="宋体" w:cs="宋体"/>
                <w:sz w:val="24"/>
                <w:szCs w:val="24"/>
              </w:rPr>
              <w:t>化</w:t>
            </w:r>
          </w:p>
          <w:p>
            <w:pPr>
              <w:bidi w:val="0"/>
              <w:rPr>
                <w:rFonts w:hint="eastAsia" w:ascii="宋体" w:hAnsi="宋体" w:eastAsia="宋体" w:cs="宋体"/>
                <w:sz w:val="24"/>
                <w:szCs w:val="24"/>
              </w:rPr>
            </w:pPr>
            <w:r>
              <w:rPr>
                <w:rFonts w:hint="eastAsia" w:ascii="宋体" w:hAnsi="宋体" w:eastAsia="宋体" w:cs="宋体"/>
                <w:sz w:val="24"/>
                <w:szCs w:val="24"/>
              </w:rPr>
              <w:t>程</w:t>
            </w:r>
          </w:p>
          <w:p>
            <w:pPr>
              <w:bidi w:val="0"/>
              <w:rPr>
                <w:rFonts w:hint="eastAsia" w:ascii="宋体" w:hAnsi="宋体" w:eastAsia="宋体" w:cs="宋体"/>
                <w:sz w:val="24"/>
                <w:szCs w:val="24"/>
              </w:rPr>
            </w:pPr>
            <w:r>
              <w:rPr>
                <w:rFonts w:hint="eastAsia" w:ascii="宋体" w:hAnsi="宋体" w:eastAsia="宋体" w:cs="宋体"/>
                <w:sz w:val="24"/>
                <w:szCs w:val="24"/>
              </w:rPr>
              <w:t>度</w:t>
            </w:r>
          </w:p>
        </w:tc>
        <w:tc>
          <w:tcPr>
            <w:tcW w:w="160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小学及以下</w:t>
            </w:r>
          </w:p>
        </w:tc>
        <w:tc>
          <w:tcPr>
            <w:tcW w:w="146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30.0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rPr>
                <w:rFonts w:hint="eastAsia" w:ascii="宋体" w:hAnsi="宋体" w:eastAsia="宋体" w:cs="宋体"/>
                <w:sz w:val="24"/>
                <w:szCs w:val="24"/>
              </w:rPr>
            </w:pPr>
          </w:p>
        </w:tc>
        <w:tc>
          <w:tcPr>
            <w:tcW w:w="160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初中</w:t>
            </w:r>
          </w:p>
        </w:tc>
        <w:tc>
          <w:tcPr>
            <w:tcW w:w="146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42.0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rPr>
                <w:rFonts w:hint="eastAsia" w:ascii="宋体" w:hAnsi="宋体" w:eastAsia="宋体" w:cs="宋体"/>
                <w:sz w:val="24"/>
                <w:szCs w:val="24"/>
              </w:rPr>
            </w:pPr>
          </w:p>
        </w:tc>
        <w:tc>
          <w:tcPr>
            <w:tcW w:w="160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中专高中</w:t>
            </w:r>
          </w:p>
        </w:tc>
        <w:tc>
          <w:tcPr>
            <w:tcW w:w="146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18.0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rPr>
                <w:rFonts w:hint="eastAsia" w:ascii="宋体" w:hAnsi="宋体" w:eastAsia="宋体" w:cs="宋体"/>
                <w:sz w:val="24"/>
                <w:szCs w:val="24"/>
              </w:rPr>
            </w:pPr>
          </w:p>
        </w:tc>
        <w:tc>
          <w:tcPr>
            <w:tcW w:w="160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大专本科及以上</w:t>
            </w:r>
          </w:p>
        </w:tc>
        <w:tc>
          <w:tcPr>
            <w:tcW w:w="146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政治面貌</w:t>
            </w:r>
          </w:p>
        </w:tc>
        <w:tc>
          <w:tcPr>
            <w:tcW w:w="160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党员</w:t>
            </w:r>
          </w:p>
        </w:tc>
        <w:tc>
          <w:tcPr>
            <w:tcW w:w="146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32.0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rPr>
                <w:rFonts w:hint="eastAsia" w:ascii="宋体" w:hAnsi="宋体" w:eastAsia="宋体" w:cs="宋体"/>
                <w:sz w:val="24"/>
                <w:szCs w:val="24"/>
              </w:rPr>
            </w:pPr>
          </w:p>
        </w:tc>
        <w:tc>
          <w:tcPr>
            <w:tcW w:w="160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非党员</w:t>
            </w:r>
          </w:p>
        </w:tc>
        <w:tc>
          <w:tcPr>
            <w:tcW w:w="146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68.0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家</w:t>
            </w:r>
          </w:p>
          <w:p>
            <w:pPr>
              <w:bidi w:val="0"/>
              <w:rPr>
                <w:rFonts w:hint="eastAsia" w:ascii="宋体" w:hAnsi="宋体" w:eastAsia="宋体" w:cs="宋体"/>
                <w:sz w:val="24"/>
                <w:szCs w:val="24"/>
              </w:rPr>
            </w:pPr>
            <w:r>
              <w:rPr>
                <w:rFonts w:hint="eastAsia" w:ascii="宋体" w:hAnsi="宋体" w:eastAsia="宋体" w:cs="宋体"/>
                <w:sz w:val="24"/>
                <w:szCs w:val="24"/>
              </w:rPr>
              <w:t>庭</w:t>
            </w:r>
          </w:p>
          <w:p>
            <w:pPr>
              <w:bidi w:val="0"/>
              <w:rPr>
                <w:rFonts w:hint="eastAsia" w:ascii="宋体" w:hAnsi="宋体" w:eastAsia="宋体" w:cs="宋体"/>
                <w:sz w:val="24"/>
                <w:szCs w:val="24"/>
              </w:rPr>
            </w:pPr>
            <w:r>
              <w:rPr>
                <w:rFonts w:hint="eastAsia" w:ascii="宋体" w:hAnsi="宋体" w:eastAsia="宋体" w:cs="宋体"/>
                <w:sz w:val="24"/>
                <w:szCs w:val="24"/>
              </w:rPr>
              <w:t>类</w:t>
            </w:r>
          </w:p>
          <w:p>
            <w:pPr>
              <w:bidi w:val="0"/>
              <w:rPr>
                <w:rFonts w:hint="eastAsia" w:ascii="宋体" w:hAnsi="宋体" w:eastAsia="宋体" w:cs="宋体"/>
                <w:sz w:val="24"/>
                <w:szCs w:val="24"/>
              </w:rPr>
            </w:pPr>
            <w:r>
              <w:rPr>
                <w:rFonts w:hint="eastAsia" w:ascii="宋体" w:hAnsi="宋体" w:eastAsia="宋体" w:cs="宋体"/>
                <w:sz w:val="24"/>
                <w:szCs w:val="24"/>
              </w:rPr>
              <w:t>型</w:t>
            </w:r>
          </w:p>
        </w:tc>
        <w:tc>
          <w:tcPr>
            <w:tcW w:w="160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已婚有配偶</w:t>
            </w:r>
          </w:p>
        </w:tc>
        <w:tc>
          <w:tcPr>
            <w:tcW w:w="146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64.0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rPr>
                <w:rFonts w:hint="eastAsia" w:ascii="宋体" w:hAnsi="宋体" w:eastAsia="宋体" w:cs="宋体"/>
                <w:sz w:val="24"/>
                <w:szCs w:val="24"/>
              </w:rPr>
            </w:pPr>
          </w:p>
        </w:tc>
        <w:tc>
          <w:tcPr>
            <w:tcW w:w="160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离婚</w:t>
            </w:r>
          </w:p>
        </w:tc>
        <w:tc>
          <w:tcPr>
            <w:tcW w:w="146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rPr>
                <w:rFonts w:hint="eastAsia" w:ascii="宋体" w:hAnsi="宋体" w:eastAsia="宋体" w:cs="宋体"/>
                <w:sz w:val="24"/>
                <w:szCs w:val="24"/>
              </w:rPr>
            </w:pPr>
          </w:p>
        </w:tc>
        <w:tc>
          <w:tcPr>
            <w:tcW w:w="160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分居</w:t>
            </w:r>
          </w:p>
        </w:tc>
        <w:tc>
          <w:tcPr>
            <w:tcW w:w="146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rPr>
                <w:rFonts w:hint="eastAsia" w:ascii="宋体" w:hAnsi="宋体" w:eastAsia="宋体" w:cs="宋体"/>
                <w:sz w:val="24"/>
                <w:szCs w:val="24"/>
              </w:rPr>
            </w:pPr>
          </w:p>
        </w:tc>
        <w:tc>
          <w:tcPr>
            <w:tcW w:w="160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丧偶</w:t>
            </w:r>
          </w:p>
        </w:tc>
        <w:tc>
          <w:tcPr>
            <w:tcW w:w="146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28.0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rPr>
                <w:rFonts w:hint="eastAsia" w:ascii="宋体" w:hAnsi="宋体" w:eastAsia="宋体" w:cs="宋体"/>
                <w:sz w:val="24"/>
                <w:szCs w:val="24"/>
              </w:rPr>
            </w:pPr>
          </w:p>
        </w:tc>
        <w:tc>
          <w:tcPr>
            <w:tcW w:w="160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未婚</w:t>
            </w:r>
          </w:p>
        </w:tc>
        <w:tc>
          <w:tcPr>
            <w:tcW w:w="146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4.0</w:t>
            </w:r>
          </w:p>
        </w:tc>
      </w:tr>
    </w:tbl>
    <w:p>
      <w:pPr>
        <w:bidi w:val="0"/>
        <w:rPr>
          <w:rFonts w:hint="eastAsia" w:ascii="宋体" w:hAnsi="宋体" w:eastAsia="宋体" w:cs="宋体"/>
          <w:sz w:val="28"/>
          <w:szCs w:val="28"/>
        </w:rPr>
      </w:pPr>
    </w:p>
    <w:p>
      <w:pPr>
        <w:bidi w:val="0"/>
        <w:rPr>
          <w:rFonts w:hint="eastAsia" w:ascii="宋体" w:hAnsi="宋体" w:eastAsia="宋体" w:cs="宋体"/>
          <w:sz w:val="28"/>
          <w:szCs w:val="28"/>
        </w:rPr>
      </w:pPr>
    </w:p>
    <w:p>
      <w:pPr>
        <w:bidi w:val="0"/>
        <w:rPr>
          <w:rFonts w:hint="eastAsia" w:ascii="宋体" w:hAnsi="宋体" w:eastAsia="宋体" w:cs="宋体"/>
          <w:sz w:val="28"/>
          <w:szCs w:val="28"/>
        </w:rPr>
      </w:pPr>
    </w:p>
    <w:p>
      <w:pPr>
        <w:bidi w:val="0"/>
        <w:rPr>
          <w:rFonts w:hint="eastAsia" w:ascii="宋体" w:hAnsi="宋体" w:eastAsia="宋体" w:cs="宋体"/>
          <w:sz w:val="28"/>
          <w:szCs w:val="28"/>
        </w:rPr>
      </w:pPr>
      <w:r>
        <w:rPr>
          <w:rFonts w:hint="eastAsia" w:ascii="宋体" w:hAnsi="宋体" w:eastAsia="宋体" w:cs="宋体"/>
          <w:sz w:val="28"/>
          <w:szCs w:val="28"/>
        </w:rPr>
        <w:t>通过表格可以看出：</w:t>
      </w:r>
    </w:p>
    <w:p>
      <w:pPr>
        <w:bidi w:val="0"/>
        <w:rPr>
          <w:rFonts w:hint="eastAsia" w:ascii="宋体" w:hAnsi="宋体" w:eastAsia="宋体" w:cs="宋体"/>
          <w:sz w:val="28"/>
          <w:szCs w:val="28"/>
        </w:rPr>
      </w:pPr>
      <w:r>
        <w:rPr>
          <w:rFonts w:hint="eastAsia" w:ascii="宋体" w:hAnsi="宋体" w:eastAsia="宋体" w:cs="宋体"/>
          <w:sz w:val="28"/>
          <w:szCs w:val="28"/>
        </w:rPr>
        <w:t>（一）、在本次调查过程中调查的女性多于男性，男女比例为1:1.27。</w:t>
      </w:r>
    </w:p>
    <w:p>
      <w:pPr>
        <w:bidi w:val="0"/>
        <w:rPr>
          <w:rFonts w:hint="eastAsia" w:ascii="宋体" w:hAnsi="宋体" w:eastAsia="宋体" w:cs="宋体"/>
          <w:sz w:val="28"/>
          <w:szCs w:val="28"/>
        </w:rPr>
      </w:pPr>
      <w:r>
        <w:rPr>
          <w:rFonts w:hint="eastAsia" w:ascii="宋体" w:hAnsi="宋体" w:eastAsia="宋体" w:cs="宋体"/>
          <w:sz w:val="28"/>
          <w:szCs w:val="28"/>
        </w:rPr>
        <w:t>（二）、66岁以上老年人各年龄组存活数随增龄而下降。</w:t>
      </w:r>
    </w:p>
    <w:p>
      <w:pPr>
        <w:bidi w:val="0"/>
        <w:rPr>
          <w:rFonts w:hint="eastAsia" w:ascii="宋体" w:hAnsi="宋体" w:eastAsia="宋体" w:cs="宋体"/>
          <w:sz w:val="28"/>
          <w:szCs w:val="28"/>
        </w:rPr>
      </w:pPr>
      <w:r>
        <w:rPr>
          <w:rFonts w:hint="eastAsia" w:ascii="宋体" w:hAnsi="宋体" w:eastAsia="宋体" w:cs="宋体"/>
          <w:sz w:val="28"/>
          <w:szCs w:val="28"/>
        </w:rPr>
        <w:t>婚姻状况：绝大多数是处于已婚状态，但也有一少部分人丧偶，其中有些丧失妻子或丈夫已长达几十年。</w:t>
      </w:r>
    </w:p>
    <w:p>
      <w:pPr>
        <w:bidi w:val="0"/>
        <w:rPr>
          <w:rFonts w:hint="eastAsia" w:ascii="宋体" w:hAnsi="宋体" w:eastAsia="宋体" w:cs="宋体"/>
          <w:sz w:val="28"/>
          <w:szCs w:val="28"/>
        </w:rPr>
      </w:pPr>
      <w:r>
        <w:rPr>
          <w:rFonts w:hint="eastAsia" w:ascii="宋体" w:hAnsi="宋体" w:eastAsia="宋体" w:cs="宋体"/>
          <w:sz w:val="28"/>
          <w:szCs w:val="28"/>
        </w:rPr>
        <w:t>政治面貌：很多都是无党派群众，但党员也占其中一部分。</w:t>
      </w:r>
    </w:p>
    <w:p>
      <w:pPr>
        <w:bidi w:val="0"/>
        <w:rPr>
          <w:rFonts w:hint="eastAsia" w:ascii="宋体" w:hAnsi="宋体" w:eastAsia="宋体" w:cs="宋体"/>
          <w:sz w:val="28"/>
          <w:szCs w:val="28"/>
        </w:rPr>
      </w:pPr>
      <w:r>
        <w:rPr>
          <w:rFonts w:hint="eastAsia" w:ascii="宋体" w:hAnsi="宋体" w:eastAsia="宋体" w:cs="宋体"/>
          <w:sz w:val="28"/>
          <w:szCs w:val="28"/>
        </w:rPr>
        <w:t>文化程度：各个学历的都占有一部分，但最多的还是处于小学和初中文化水平。</w:t>
      </w:r>
    </w:p>
    <w:p>
      <w:pPr>
        <w:bidi w:val="0"/>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lang w:val="en-US" w:eastAsia="zh-CN"/>
        </w:rPr>
        <w:t>2</w:t>
      </w:r>
      <w:r>
        <w:rPr>
          <w:rFonts w:hint="eastAsia" w:ascii="宋体" w:hAnsi="宋体" w:eastAsia="宋体" w:cs="宋体"/>
          <w:sz w:val="28"/>
          <w:szCs w:val="28"/>
        </w:rPr>
        <w:t>、资料的分析方法</w:t>
      </w:r>
    </w:p>
    <w:p>
      <w:pPr>
        <w:bidi w:val="0"/>
        <w:rPr>
          <w:rFonts w:hint="eastAsia" w:ascii="宋体" w:hAnsi="宋体" w:eastAsia="宋体" w:cs="宋体"/>
          <w:sz w:val="28"/>
          <w:szCs w:val="28"/>
        </w:rPr>
      </w:pPr>
      <w:r>
        <w:rPr>
          <w:rFonts w:hint="eastAsia" w:ascii="宋体" w:hAnsi="宋体" w:eastAsia="宋体" w:cs="宋体"/>
          <w:sz w:val="28"/>
          <w:szCs w:val="28"/>
        </w:rPr>
        <w:t>（一）、收集所有的问卷，将相关的题目进行分类，再用excel</w:t>
      </w:r>
    </w:p>
    <w:p>
      <w:pPr>
        <w:bidi w:val="0"/>
        <w:rPr>
          <w:rFonts w:hint="eastAsia" w:ascii="宋体" w:hAnsi="宋体" w:eastAsia="宋体" w:cs="宋体"/>
          <w:sz w:val="28"/>
          <w:szCs w:val="28"/>
        </w:rPr>
      </w:pPr>
      <w:r>
        <w:rPr>
          <w:rFonts w:hint="eastAsia" w:ascii="宋体" w:hAnsi="宋体" w:eastAsia="宋体" w:cs="宋体"/>
          <w:sz w:val="28"/>
          <w:szCs w:val="28"/>
        </w:rPr>
        <w:t>对之进行统计分析和制作出图形。</w:t>
      </w:r>
    </w:p>
    <w:p>
      <w:pPr>
        <w:bidi w:val="0"/>
        <w:rPr>
          <w:rFonts w:hint="eastAsia" w:ascii="宋体" w:hAnsi="宋体" w:eastAsia="宋体" w:cs="宋体"/>
          <w:sz w:val="28"/>
          <w:szCs w:val="28"/>
        </w:rPr>
      </w:pPr>
      <w:r>
        <w:rPr>
          <w:rFonts w:hint="eastAsia" w:ascii="宋体" w:hAnsi="宋体" w:eastAsia="宋体" w:cs="宋体"/>
          <w:sz w:val="28"/>
          <w:szCs w:val="28"/>
        </w:rPr>
        <w:t>（二）、把访谈所得的资料进行整理，分析出资料所反映的老年人的生活状况，以及通过这些所得到到的许多社会事实。</w:t>
      </w:r>
    </w:p>
    <w:p>
      <w:pPr>
        <w:bidi w:val="0"/>
        <w:rPr>
          <w:rFonts w:hint="eastAsia" w:ascii="宋体" w:hAnsi="宋体" w:eastAsia="宋体" w:cs="宋体"/>
          <w:sz w:val="28"/>
          <w:szCs w:val="28"/>
        </w:rPr>
      </w:pPr>
    </w:p>
    <w:p>
      <w:pPr>
        <w:bidi w:val="0"/>
        <w:outlineLvl w:val="0"/>
        <w:rPr>
          <w:rFonts w:hint="eastAsia" w:ascii="宋体" w:hAnsi="宋体" w:eastAsia="宋体" w:cs="宋体"/>
          <w:sz w:val="28"/>
          <w:szCs w:val="28"/>
        </w:rPr>
      </w:pPr>
      <w:bookmarkStart w:id="5" w:name="_Toc478"/>
      <w:r>
        <w:rPr>
          <w:rFonts w:hint="eastAsia" w:ascii="宋体" w:hAnsi="宋体" w:eastAsia="宋体" w:cs="宋体"/>
          <w:sz w:val="28"/>
          <w:szCs w:val="28"/>
          <w:lang w:val="en-US" w:eastAsia="zh-CN"/>
        </w:rPr>
        <w:t>四．</w:t>
      </w:r>
      <w:r>
        <w:rPr>
          <w:rFonts w:hint="eastAsia" w:ascii="宋体" w:hAnsi="宋体" w:eastAsia="宋体" w:cs="宋体"/>
          <w:sz w:val="28"/>
          <w:szCs w:val="28"/>
        </w:rPr>
        <w:t xml:space="preserve"> 老年人生活现状描述</w:t>
      </w:r>
      <w:bookmarkEnd w:id="5"/>
    </w:p>
    <w:p>
      <w:pPr>
        <w:bidi w:val="0"/>
        <w:rPr>
          <w:rFonts w:hint="eastAsia" w:ascii="宋体" w:hAnsi="宋体" w:eastAsia="宋体" w:cs="宋体"/>
          <w:sz w:val="28"/>
          <w:szCs w:val="28"/>
        </w:rPr>
      </w:pPr>
      <w:r>
        <w:rPr>
          <w:rFonts w:hint="eastAsia" w:ascii="宋体" w:hAnsi="宋体" w:eastAsia="宋体" w:cs="宋体"/>
          <w:sz w:val="28"/>
          <w:szCs w:val="28"/>
        </w:rPr>
        <w:t>1、多数老年人文化程度偏低</w:t>
      </w:r>
    </w:p>
    <w:p>
      <w:pPr>
        <w:bidi w:val="0"/>
        <w:rPr>
          <w:rFonts w:hint="eastAsia" w:ascii="宋体" w:hAnsi="宋体" w:eastAsia="宋体" w:cs="宋体"/>
          <w:sz w:val="28"/>
          <w:szCs w:val="28"/>
        </w:rPr>
      </w:pPr>
      <w:r>
        <w:rPr>
          <w:rFonts w:hint="eastAsia" w:ascii="宋体" w:hAnsi="宋体" w:eastAsia="宋体" w:cs="宋体"/>
          <w:sz w:val="28"/>
          <w:szCs w:val="28"/>
        </w:rPr>
        <w:t>小学及以下占30.0%，初中占42.0%，中专和高中占18.0%，而大专和本科及以上仅占10.0%（图1），老年人文化程度偏低的特征很明显。</w:t>
      </w:r>
    </w:p>
    <w:p>
      <w:pPr>
        <w:bidi w:val="0"/>
        <w:rPr>
          <w:rFonts w:hint="eastAsia" w:ascii="宋体" w:hAnsi="宋体" w:eastAsia="宋体" w:cs="宋体"/>
          <w:sz w:val="28"/>
          <w:szCs w:val="28"/>
        </w:rPr>
      </w:pPr>
      <w:r>
        <w:rPr>
          <w:rFonts w:hint="eastAsia" w:ascii="宋体" w:hAnsi="宋体" w:eastAsia="宋体" w:cs="宋体"/>
          <w:sz w:val="28"/>
          <w:szCs w:val="28"/>
        </w:rPr>
        <w:pict>
          <v:shape id="_x0000_s1026" o:spid="_x0000_s1026" o:spt="75" type="#_x0000_t75" style="position:absolute;left:0pt;margin-left:72pt;margin-top:4.8pt;height:142.4pt;width:288pt;mso-wrap-distance-bottom:0pt;mso-wrap-distance-left:9pt;mso-wrap-distance-right:9pt;mso-wrap-distance-top:0pt;z-index:251661312;mso-width-relative:page;mso-height-relative:page;" o:ole="t" filled="f" o:preferrelative="t" stroked="t" coordsize="21600,21600">
            <v:path/>
            <v:fill on="f" alignshape="1" focussize="0,0"/>
            <v:stroke/>
            <v:imagedata r:id="rId8" grayscale="f" bilevel="f" o:title=""/>
            <o:lock v:ext="edit" aspectratio="t"/>
            <w10:wrap type="square" side="right"/>
          </v:shape>
          <o:OLEObject Type="Embed" ProgID="" ShapeID="_x0000_s1026" DrawAspect="Content" ObjectID="_1468075725" r:id="rId7">
            <o:LockedField>false</o:LockedField>
          </o:OLEObject>
        </w:pict>
      </w:r>
      <w:r>
        <w:rPr>
          <w:rFonts w:hint="eastAsia" w:ascii="宋体" w:hAnsi="宋体" w:eastAsia="宋体" w:cs="宋体"/>
          <w:sz w:val="28"/>
          <w:szCs w:val="28"/>
        </w:rPr>
        <w:br w:type="textWrapping"/>
      </w:r>
      <w:r>
        <w:rPr>
          <w:rFonts w:hint="eastAsia" w:ascii="宋体" w:hAnsi="宋体" w:eastAsia="宋体" w:cs="宋体"/>
          <w:sz w:val="28"/>
          <w:szCs w:val="28"/>
        </w:rPr>
        <w:t xml:space="preserve">                                   图1  </w:t>
      </w:r>
    </w:p>
    <w:p>
      <w:pPr>
        <w:bidi w:val="0"/>
        <w:rPr>
          <w:rFonts w:hint="eastAsia" w:ascii="宋体" w:hAnsi="宋体" w:eastAsia="宋体" w:cs="宋体"/>
          <w:sz w:val="28"/>
          <w:szCs w:val="28"/>
        </w:rPr>
      </w:pPr>
      <w:r>
        <w:rPr>
          <w:rFonts w:hint="eastAsia" w:ascii="宋体" w:hAnsi="宋体" w:eastAsia="宋体" w:cs="宋体"/>
          <w:sz w:val="28"/>
          <w:szCs w:val="28"/>
        </w:rPr>
        <w:t>2、有配偶的老年人接近七成。</w:t>
      </w:r>
    </w:p>
    <w:p>
      <w:pPr>
        <w:bidi w:val="0"/>
        <w:rPr>
          <w:rFonts w:hint="eastAsia" w:ascii="宋体" w:hAnsi="宋体" w:eastAsia="宋体" w:cs="宋体"/>
          <w:sz w:val="28"/>
          <w:szCs w:val="28"/>
        </w:rPr>
      </w:pPr>
      <w:r>
        <w:rPr>
          <w:rFonts w:hint="eastAsia" w:ascii="宋体" w:hAnsi="宋体" w:eastAsia="宋体" w:cs="宋体"/>
          <w:sz w:val="28"/>
          <w:szCs w:val="28"/>
        </w:rPr>
        <w:t>老年人婚姻状况，已婚有配偶占64.0%，丧偶为28.0%，离婚、分居和未婚分别为4.0%、0%和4.0%（图2）。</w:t>
      </w:r>
    </w:p>
    <w:p>
      <w:pPr>
        <w:bidi w:val="0"/>
        <w:rPr>
          <w:rFonts w:hint="eastAsia" w:ascii="宋体" w:hAnsi="宋体" w:eastAsia="宋体" w:cs="宋体"/>
          <w:sz w:val="28"/>
          <w:szCs w:val="28"/>
        </w:rPr>
      </w:pPr>
      <w:r>
        <w:rPr>
          <w:rFonts w:hint="eastAsia" w:ascii="宋体" w:hAnsi="宋体" w:eastAsia="宋体" w:cs="宋体"/>
          <w:sz w:val="28"/>
          <w:szCs w:val="28"/>
        </w:rPr>
        <w:pict>
          <v:shape id="_x0000_s1027" o:spid="_x0000_s1027" o:spt="75" type="#_x0000_t75" style="position:absolute;left:0pt;margin-left:9pt;margin-top:9.4pt;height:195pt;width:369pt;mso-wrap-distance-bottom:0pt;mso-wrap-distance-left:9pt;mso-wrap-distance-right:9pt;mso-wrap-distance-top:0pt;z-index:251660288;mso-width-relative:page;mso-height-relative:page;" o:ole="t" filled="f" o:preferrelative="t" stroked="t" coordsize="21600,21600">
            <v:path/>
            <v:fill on="f" alignshape="1" focussize="0,0"/>
            <v:stroke/>
            <v:imagedata r:id="rId10" grayscale="f" bilevel="f" o:title=""/>
            <o:lock v:ext="edit" aspectratio="t"/>
            <w10:wrap type="square" side="right"/>
          </v:shape>
          <o:OLEObject Type="Embed" ProgID="" ShapeID="_x0000_s1027" DrawAspect="Content" ObjectID="_1468075726" r:id="rId9">
            <o:LockedField>false</o:LockedField>
          </o:OLEObject>
        </w:pict>
      </w:r>
      <w:r>
        <w:rPr>
          <w:rFonts w:hint="eastAsia" w:ascii="宋体" w:hAnsi="宋体" w:eastAsia="宋体" w:cs="宋体"/>
          <w:sz w:val="28"/>
          <w:szCs w:val="28"/>
        </w:rPr>
        <w:br w:type="textWrapping"/>
      </w:r>
      <w:r>
        <w:rPr>
          <w:rFonts w:hint="eastAsia" w:ascii="宋体" w:hAnsi="宋体" w:eastAsia="宋体" w:cs="宋体"/>
          <w:sz w:val="28"/>
          <w:szCs w:val="28"/>
        </w:rPr>
        <w:t xml:space="preserve">                           图2</w:t>
      </w:r>
    </w:p>
    <w:p>
      <w:pPr>
        <w:bidi w:val="0"/>
        <w:rPr>
          <w:rFonts w:hint="eastAsia" w:ascii="宋体" w:hAnsi="宋体" w:eastAsia="宋体" w:cs="宋体"/>
          <w:sz w:val="28"/>
          <w:szCs w:val="28"/>
        </w:rPr>
      </w:pPr>
      <w:r>
        <w:rPr>
          <w:rFonts w:hint="eastAsia" w:ascii="宋体" w:hAnsi="宋体" w:eastAsia="宋体" w:cs="宋体"/>
          <w:sz w:val="28"/>
          <w:szCs w:val="28"/>
        </w:rPr>
        <w:t>3、多数老年人有子女住本地。</w:t>
      </w:r>
    </w:p>
    <w:p>
      <w:pPr>
        <w:bidi w:val="0"/>
        <w:rPr>
          <w:rFonts w:hint="eastAsia" w:ascii="宋体" w:hAnsi="宋体" w:eastAsia="宋体" w:cs="宋体"/>
          <w:sz w:val="28"/>
          <w:szCs w:val="28"/>
        </w:rPr>
      </w:pPr>
      <w:r>
        <w:rPr>
          <w:rFonts w:hint="eastAsia" w:ascii="宋体" w:hAnsi="宋体" w:eastAsia="宋体" w:cs="宋体"/>
          <w:sz w:val="28"/>
          <w:szCs w:val="28"/>
        </w:rPr>
        <w:t>在回答“不与您共同生活的子女住处”时，住“同一个辖区”为53.6%，“本市其他辖区”为33.3%，“本市郊区”为4.2%；而在“外地”的占8.8%（图3）。可见，绝大部分老人都有子女住在本市，相对照顾比较方便。</w:t>
      </w:r>
    </w:p>
    <w:p>
      <w:pPr>
        <w:bidi w:val="0"/>
        <w:rPr>
          <w:rFonts w:hint="eastAsia" w:ascii="宋体" w:hAnsi="宋体" w:eastAsia="宋体" w:cs="宋体"/>
          <w:sz w:val="28"/>
          <w:szCs w:val="28"/>
        </w:rPr>
      </w:pPr>
      <w:r>
        <w:rPr>
          <w:rFonts w:hint="eastAsia" w:ascii="宋体" w:hAnsi="宋体" w:eastAsia="宋体" w:cs="宋体"/>
          <w:color w:val="000000"/>
          <w:kern w:val="0"/>
          <w:sz w:val="28"/>
          <w:szCs w:val="28"/>
        </w:rPr>
        <w:object>
          <v:shape id="_x0000_i1025" o:spt="75" type="#_x0000_t75" style="height:152.55pt;width:375pt;" o:ole="t" filled="f" o:preferrelative="t" stroked="f" coordsize="21600,21600">
            <v:path/>
            <v:fill on="f" alignshape="1" focussize="0,0"/>
            <v:stroke on="f"/>
            <v:imagedata r:id="rId12" grayscale="f" bilevel="f" o:title=""/>
            <o:lock v:ext="edit" aspectratio="t"/>
            <w10:wrap type="none"/>
            <w10:anchorlock/>
          </v:shape>
          <o:OLEObject Type="Embed" ProgID="MSGraph.Chart.8" ShapeID="_x0000_i1025" DrawAspect="Content" ObjectID="_1468075727" r:id="rId11">
            <o:LockedField>false</o:LockedField>
          </o:OLEObject>
        </w:object>
      </w:r>
    </w:p>
    <w:p>
      <w:pPr>
        <w:bidi w:val="0"/>
        <w:rPr>
          <w:rFonts w:hint="eastAsia" w:ascii="宋体" w:hAnsi="宋体" w:eastAsia="宋体" w:cs="宋体"/>
          <w:sz w:val="28"/>
          <w:szCs w:val="28"/>
          <w:lang w:val="zh-CN"/>
        </w:rPr>
      </w:pPr>
      <w:r>
        <w:rPr>
          <w:rFonts w:hint="eastAsia" w:ascii="宋体" w:hAnsi="宋体" w:eastAsia="宋体" w:cs="宋体"/>
          <w:sz w:val="28"/>
          <w:szCs w:val="28"/>
          <w:lang w:val="zh-CN"/>
        </w:rPr>
        <w:t xml:space="preserve">                              图3</w:t>
      </w:r>
    </w:p>
    <w:p>
      <w:pPr>
        <w:bidi w:val="0"/>
        <w:rPr>
          <w:rFonts w:hint="eastAsia" w:ascii="宋体" w:hAnsi="宋体" w:eastAsia="宋体" w:cs="宋体"/>
          <w:sz w:val="28"/>
          <w:szCs w:val="28"/>
        </w:rPr>
      </w:pPr>
      <w:r>
        <w:rPr>
          <w:rFonts w:hint="eastAsia" w:ascii="宋体" w:hAnsi="宋体" w:eastAsia="宋体" w:cs="宋体"/>
          <w:sz w:val="28"/>
          <w:szCs w:val="28"/>
        </w:rPr>
        <w:t>4、老年人主要兴趣爱好趋同。老年人对“兴趣爱好”选择，“听广播、看电视”，占63.3%；“聊天”占39.8%；“看书读报”占 28.6%；其它依次为“麻将” 21.8%、“棋牌”12.7%、“无特殊兴趣爱好”11.9%、“种花/养宠物”10.6%、“看电影、看戏”9.2%、“体育健身”8.7%、“唱歌/跳舞”8.3%、“旅游”6.5%等。（图4）</w:t>
      </w:r>
    </w:p>
    <w:p>
      <w:pPr>
        <w:bidi w:val="0"/>
        <w:rPr>
          <w:rFonts w:hint="eastAsia" w:ascii="宋体" w:hAnsi="宋体" w:eastAsia="宋体" w:cs="宋体"/>
          <w:sz w:val="28"/>
          <w:szCs w:val="28"/>
        </w:rPr>
      </w:pPr>
      <w:r>
        <w:rPr>
          <w:rFonts w:hint="eastAsia" w:ascii="宋体" w:hAnsi="宋体" w:eastAsia="宋体" w:cs="宋体"/>
          <w:color w:val="000000"/>
          <w:kern w:val="0"/>
          <w:sz w:val="28"/>
          <w:szCs w:val="28"/>
        </w:rPr>
        <w:object>
          <v:shape id="_x0000_i1026" o:spt="75" type="#_x0000_t75" style="height:179.2pt;width:431.65pt;" o:ole="t" filled="f" o:preferrelative="t" stroked="f" coordsize="21600,21600">
            <v:path/>
            <v:fill on="f" alignshape="1" focussize="0,0"/>
            <v:stroke on="f"/>
            <v:imagedata r:id="rId14" grayscale="f" bilevel="f" o:title=""/>
            <o:lock v:ext="edit" aspectratio="t"/>
            <w10:wrap type="none"/>
            <w10:anchorlock/>
          </v:shape>
          <o:OLEObject Type="Embed" ProgID="MSGraph.Chart.8" ShapeID="_x0000_i1026" DrawAspect="Content" ObjectID="_1468075728" r:id="rId13">
            <o:LockedField>false</o:LockedField>
          </o:OLEObject>
        </w:object>
      </w:r>
      <w:r>
        <w:rPr>
          <w:rFonts w:hint="eastAsia" w:ascii="宋体" w:hAnsi="宋体" w:eastAsia="宋体" w:cs="宋体"/>
          <w:sz w:val="28"/>
          <w:szCs w:val="28"/>
        </w:rPr>
        <w:t xml:space="preserve">                            图4</w:t>
      </w:r>
    </w:p>
    <w:p>
      <w:pPr>
        <w:bidi w:val="0"/>
        <w:rPr>
          <w:rFonts w:hint="eastAsia" w:ascii="宋体" w:hAnsi="宋体" w:eastAsia="宋体" w:cs="宋体"/>
          <w:sz w:val="28"/>
          <w:szCs w:val="28"/>
        </w:rPr>
      </w:pPr>
      <w:r>
        <w:rPr>
          <w:rFonts w:hint="eastAsia" w:ascii="宋体" w:hAnsi="宋体" w:eastAsia="宋体" w:cs="宋体"/>
          <w:sz w:val="28"/>
          <w:szCs w:val="28"/>
        </w:rPr>
        <w:t>由此可见，老年人闲暇在家，把时间花在看书阅报、看电视、体育锻炼和运动健身方面较为普遍。由于家庭小型化，空巢老人日益增多，老年人对精神生活的要求日益凸显，他们渴望通过交友、娱乐、学习、交流，充实精神生活。</w:t>
      </w:r>
    </w:p>
    <w:p>
      <w:pPr>
        <w:bidi w:val="0"/>
        <w:rPr>
          <w:rFonts w:hint="eastAsia" w:ascii="宋体" w:hAnsi="宋体" w:eastAsia="宋体" w:cs="宋体"/>
          <w:sz w:val="28"/>
          <w:szCs w:val="28"/>
        </w:rPr>
      </w:pPr>
      <w:r>
        <w:rPr>
          <w:rFonts w:hint="eastAsia" w:ascii="宋体" w:hAnsi="宋体" w:eastAsia="宋体" w:cs="宋体"/>
          <w:sz w:val="28"/>
          <w:szCs w:val="28"/>
        </w:rPr>
        <w:t>5、日常活动以居家为中心。老人“经常活动的场所”，选择最多的是“邻近的户外空地”，占54.8%；其次是“基本在家”，占49.4%；再次是“菜场”，占43.4%；其它依次为“公园或广场”34.4%、“商店或超市”25.6%、“社区或街道老人活动室”19.2%，“其他”6 .3%（图5）。</w:t>
      </w:r>
    </w:p>
    <w:p>
      <w:pPr>
        <w:bidi w:val="0"/>
        <w:rPr>
          <w:rFonts w:hint="eastAsia" w:ascii="宋体" w:hAnsi="宋体" w:eastAsia="宋体" w:cs="宋体"/>
          <w:sz w:val="28"/>
          <w:szCs w:val="28"/>
        </w:rPr>
      </w:pPr>
      <w:r>
        <w:rPr>
          <w:rFonts w:hint="eastAsia" w:ascii="宋体" w:hAnsi="宋体" w:eastAsia="宋体" w:cs="宋体"/>
          <w:color w:val="000000"/>
          <w:kern w:val="0"/>
          <w:sz w:val="28"/>
          <w:szCs w:val="28"/>
        </w:rPr>
        <w:object>
          <v:shape id="_x0000_i1027" o:spt="75" type="#_x0000_t75" style="height:191.65pt;width:413.3pt;" o:ole="t" filled="f" o:preferrelative="t" stroked="f" coordsize="21600,21600">
            <v:path/>
            <v:fill on="f" alignshape="1" focussize="0,0"/>
            <v:stroke on="f"/>
            <v:imagedata r:id="rId16" grayscale="f" bilevel="f" o:title=""/>
            <o:lock v:ext="edit" aspectratio="t"/>
            <w10:wrap type="none"/>
            <w10:anchorlock/>
          </v:shape>
          <o:OLEObject Type="Embed" ProgID="MSGraph.Chart.8" ShapeID="_x0000_i1027" DrawAspect="Content" ObjectID="_1468075729" r:id="rId15">
            <o:LockedField>false</o:LockedField>
          </o:OLEObject>
        </w:object>
      </w:r>
    </w:p>
    <w:p>
      <w:pPr>
        <w:bidi w:val="0"/>
        <w:rPr>
          <w:rFonts w:hint="eastAsia" w:ascii="宋体" w:hAnsi="宋体" w:eastAsia="宋体" w:cs="宋体"/>
          <w:sz w:val="28"/>
          <w:szCs w:val="28"/>
        </w:rPr>
      </w:pPr>
      <w:r>
        <w:rPr>
          <w:rFonts w:hint="eastAsia" w:ascii="宋体" w:hAnsi="宋体" w:eastAsia="宋体" w:cs="宋体"/>
          <w:sz w:val="28"/>
          <w:szCs w:val="28"/>
        </w:rPr>
        <w:t xml:space="preserve">                          图5</w:t>
      </w:r>
    </w:p>
    <w:p>
      <w:pPr>
        <w:bidi w:val="0"/>
        <w:rPr>
          <w:rFonts w:hint="eastAsia" w:ascii="宋体" w:hAnsi="宋体" w:eastAsia="宋体" w:cs="宋体"/>
          <w:sz w:val="28"/>
          <w:szCs w:val="28"/>
        </w:rPr>
      </w:pPr>
      <w:r>
        <w:rPr>
          <w:rFonts w:hint="eastAsia" w:ascii="宋体" w:hAnsi="宋体" w:eastAsia="宋体" w:cs="宋体"/>
          <w:sz w:val="28"/>
          <w:szCs w:val="28"/>
        </w:rPr>
        <w:t>6、子女探望老人频次较高。在问及“不与您生活的子女探望频率”时，“每天来探望”为23.1%；“每周来探望”成为主流，达37.4%；“每半月左右”为17.9%；而回答“每月”、“每半年左右”、“每年”的分别只占到8.3%、8.4%和5.0%。子女探望往往是减轻老年人尤其是独居老人和空巢家庭老人孤独感的重要方法。（图6）</w:t>
      </w:r>
    </w:p>
    <w:p>
      <w:pPr>
        <w:bidi w:val="0"/>
        <w:rPr>
          <w:rFonts w:hint="eastAsia" w:ascii="宋体" w:hAnsi="宋体" w:eastAsia="宋体" w:cs="宋体"/>
          <w:sz w:val="28"/>
          <w:szCs w:val="28"/>
        </w:rPr>
      </w:pPr>
      <w:r>
        <w:rPr>
          <w:rFonts w:hint="eastAsia" w:ascii="宋体" w:hAnsi="宋体" w:eastAsia="宋体" w:cs="宋体"/>
          <w:color w:val="000000"/>
          <w:kern w:val="0"/>
          <w:sz w:val="28"/>
          <w:szCs w:val="28"/>
        </w:rPr>
        <w:object>
          <v:shape id="_x0000_i1028" o:spt="75" type="#_x0000_t75" style="height:192.5pt;width:440pt;" o:ole="t" filled="f" o:preferrelative="t" stroked="f" coordsize="21600,21600">
            <v:path/>
            <v:fill on="f" alignshape="1" focussize="0,0"/>
            <v:stroke on="f"/>
            <v:imagedata r:id="rId18" grayscale="f" bilevel="f" o:title=""/>
            <o:lock v:ext="edit" aspectratio="t"/>
            <w10:wrap type="none"/>
            <w10:anchorlock/>
          </v:shape>
          <o:OLEObject Type="Embed" ProgID="MSGraph.Chart.8" ShapeID="_x0000_i1028" DrawAspect="Content" ObjectID="_1468075730" r:id="rId17">
            <o:LockedField>false</o:LockedField>
          </o:OLEObject>
        </w:object>
      </w:r>
      <w:r>
        <w:rPr>
          <w:rFonts w:hint="eastAsia" w:ascii="宋体" w:hAnsi="宋体" w:eastAsia="宋体" w:cs="宋体"/>
          <w:sz w:val="28"/>
          <w:szCs w:val="28"/>
        </w:rPr>
        <w:t xml:space="preserve">                             图6</w:t>
      </w:r>
    </w:p>
    <w:p>
      <w:pPr>
        <w:bidi w:val="0"/>
        <w:rPr>
          <w:rFonts w:hint="eastAsia" w:ascii="宋体" w:hAnsi="宋体" w:eastAsia="宋体" w:cs="宋体"/>
          <w:sz w:val="28"/>
          <w:szCs w:val="28"/>
        </w:rPr>
      </w:pPr>
      <w:r>
        <w:rPr>
          <w:rFonts w:hint="eastAsia" w:ascii="宋体" w:hAnsi="宋体" w:eastAsia="宋体" w:cs="宋体"/>
          <w:sz w:val="28"/>
          <w:szCs w:val="28"/>
        </w:rPr>
        <w:t>7、多数老年人家庭关系和谐。在五个选项中，认为“很和谐”和“较和谐”的分别为54.3%和35.8%；“一般”的为8.9%；“不太和谐”和“不和谐”的分别只占0.3%和0.2%；还有0.5%的老人“说不清”。（图7）</w:t>
      </w:r>
      <w:r>
        <w:rPr>
          <w:rFonts w:hint="eastAsia" w:ascii="宋体" w:hAnsi="宋体" w:eastAsia="宋体" w:cs="宋体"/>
          <w:color w:val="000000"/>
          <w:kern w:val="0"/>
          <w:sz w:val="28"/>
          <w:szCs w:val="28"/>
        </w:rPr>
        <w:object>
          <v:shape id="_x0000_i1029" o:spt="75" type="#_x0000_t75" style="height:190pt;width:413.3pt;" o:ole="t" filled="f" o:preferrelative="t" stroked="f" coordsize="21600,21600">
            <v:path/>
            <v:fill on="f" alignshape="1" focussize="0,0"/>
            <v:stroke on="f"/>
            <v:imagedata r:id="rId20" grayscale="f" bilevel="f" o:title=""/>
            <o:lock v:ext="edit" aspectratio="t"/>
            <w10:wrap type="none"/>
            <w10:anchorlock/>
          </v:shape>
          <o:OLEObject Type="Embed" ProgID="MSGraph.Chart.8" ShapeID="_x0000_i1029" DrawAspect="Content" ObjectID="_1468075731" r:id="rId19">
            <o:LockedField>false</o:LockedField>
          </o:OLEObject>
        </w:object>
      </w:r>
    </w:p>
    <w:p>
      <w:pPr>
        <w:bidi w:val="0"/>
        <w:rPr>
          <w:rFonts w:hint="eastAsia" w:ascii="宋体" w:hAnsi="宋体" w:eastAsia="宋体" w:cs="宋体"/>
          <w:sz w:val="28"/>
          <w:szCs w:val="28"/>
        </w:rPr>
      </w:pPr>
      <w:r>
        <w:rPr>
          <w:rFonts w:hint="eastAsia" w:ascii="宋体" w:hAnsi="宋体" w:eastAsia="宋体" w:cs="宋体"/>
          <w:sz w:val="28"/>
          <w:szCs w:val="28"/>
        </w:rPr>
        <w:t xml:space="preserve">                        图7</w:t>
      </w:r>
    </w:p>
    <w:p>
      <w:pPr>
        <w:bidi w:val="0"/>
        <w:rPr>
          <w:rFonts w:hint="eastAsia" w:ascii="宋体" w:hAnsi="宋体" w:eastAsia="宋体" w:cs="宋体"/>
          <w:sz w:val="28"/>
          <w:szCs w:val="28"/>
        </w:rPr>
      </w:pPr>
      <w:r>
        <w:rPr>
          <w:rFonts w:hint="eastAsia" w:ascii="宋体" w:hAnsi="宋体" w:eastAsia="宋体" w:cs="宋体"/>
          <w:sz w:val="28"/>
          <w:szCs w:val="28"/>
        </w:rPr>
        <w:t>8、老年人主要收入来源，以离退休金为主的占57.2%，由子女资助的占31.1%，社会救助保障、亲友资助和家庭资产分别为8.9%、1.2%和5.5%，其他占9.8%（图8）</w:t>
      </w:r>
    </w:p>
    <w:p>
      <w:pPr>
        <w:bidi w:val="0"/>
        <w:rPr>
          <w:rFonts w:hint="eastAsia" w:ascii="宋体" w:hAnsi="宋体" w:eastAsia="宋体" w:cs="宋体"/>
          <w:sz w:val="28"/>
          <w:szCs w:val="28"/>
        </w:rPr>
      </w:pPr>
      <w:r>
        <w:rPr>
          <w:rFonts w:hint="eastAsia" w:ascii="宋体" w:hAnsi="宋体" w:eastAsia="宋体" w:cs="宋体"/>
          <w:color w:val="000000"/>
          <w:kern w:val="0"/>
          <w:sz w:val="28"/>
          <w:szCs w:val="28"/>
        </w:rPr>
        <w:object>
          <v:shape id="_x0000_i1030" o:spt="75" type="#_x0000_t75" style="height:153.4pt;width:413.3pt;" o:ole="t" filled="f" o:preferrelative="t" stroked="f" coordsize="21600,21600">
            <v:path/>
            <v:fill on="f" alignshape="1" focussize="0,0"/>
            <v:stroke on="f"/>
            <v:imagedata r:id="rId22" grayscale="f" bilevel="f" o:title=""/>
            <o:lock v:ext="edit" aspectratio="t"/>
            <w10:wrap type="none"/>
            <w10:anchorlock/>
          </v:shape>
          <o:OLEObject Type="Embed" ProgID="MSGraph.Chart.8" ShapeID="_x0000_i1030" DrawAspect="Content" ObjectID="_1468075732" r:id="rId21">
            <o:LockedField>false</o:LockedField>
          </o:OLEObject>
        </w:object>
      </w:r>
    </w:p>
    <w:p>
      <w:pPr>
        <w:bidi w:val="0"/>
        <w:rPr>
          <w:rFonts w:hint="eastAsia" w:ascii="宋体" w:hAnsi="宋体" w:eastAsia="宋体" w:cs="宋体"/>
          <w:sz w:val="28"/>
          <w:szCs w:val="28"/>
        </w:rPr>
      </w:pPr>
      <w:r>
        <w:rPr>
          <w:rFonts w:hint="eastAsia" w:ascii="宋体" w:hAnsi="宋体" w:eastAsia="宋体" w:cs="宋体"/>
          <w:sz w:val="28"/>
          <w:szCs w:val="28"/>
        </w:rPr>
        <w:t>图8</w:t>
      </w:r>
    </w:p>
    <w:p>
      <w:pPr>
        <w:bidi w:val="0"/>
        <w:outlineLvl w:val="0"/>
        <w:rPr>
          <w:rFonts w:hint="eastAsia" w:ascii="宋体" w:hAnsi="宋体" w:eastAsia="宋体" w:cs="宋体"/>
          <w:sz w:val="28"/>
          <w:szCs w:val="28"/>
        </w:rPr>
      </w:pPr>
      <w:bookmarkStart w:id="6" w:name="_Toc4439"/>
      <w:r>
        <w:rPr>
          <w:rFonts w:hint="eastAsia" w:ascii="宋体" w:hAnsi="宋体" w:eastAsia="宋体" w:cs="宋体"/>
          <w:sz w:val="28"/>
          <w:szCs w:val="28"/>
          <w:lang w:val="en-US" w:eastAsia="zh-CN"/>
        </w:rPr>
        <w:t>五</w:t>
      </w:r>
      <w:r>
        <w:rPr>
          <w:rFonts w:hint="eastAsia" w:ascii="宋体" w:hAnsi="宋体" w:eastAsia="宋体" w:cs="宋体"/>
          <w:sz w:val="28"/>
          <w:szCs w:val="28"/>
        </w:rPr>
        <w:t>、</w:t>
      </w:r>
      <w:r>
        <w:rPr>
          <w:rFonts w:hint="eastAsia" w:ascii="宋体" w:hAnsi="宋体" w:eastAsia="宋体" w:cs="宋体"/>
          <w:sz w:val="28"/>
          <w:szCs w:val="28"/>
        </w:rPr>
        <w:t>对策建议</w:t>
      </w:r>
      <w:bookmarkEnd w:id="6"/>
    </w:p>
    <w:p>
      <w:pPr>
        <w:bidi w:val="0"/>
        <w:rPr>
          <w:rFonts w:hint="eastAsia" w:ascii="宋体" w:hAnsi="宋体" w:eastAsia="宋体" w:cs="宋体"/>
          <w:sz w:val="28"/>
          <w:szCs w:val="28"/>
        </w:rPr>
      </w:pPr>
      <w:r>
        <w:rPr>
          <w:rFonts w:hint="eastAsia" w:ascii="宋体" w:hAnsi="宋体" w:eastAsia="宋体" w:cs="宋体"/>
          <w:sz w:val="28"/>
          <w:szCs w:val="28"/>
        </w:rPr>
        <w:t>针对目前市区老年人的基本状况，发展养老社会服务，要突出居家养老服务，大力促进社会参与。坚持标准化建设、制度化管理、多样化运行、专业化服务。坚持以人本，推进‘三社’互动，着眼城乡统筹，努力提升养老公共服务水平。</w:t>
      </w:r>
    </w:p>
    <w:p>
      <w:pPr>
        <w:bidi w:val="0"/>
        <w:rPr>
          <w:rFonts w:hint="eastAsia" w:ascii="宋体" w:hAnsi="宋体" w:eastAsia="宋体" w:cs="宋体"/>
          <w:sz w:val="28"/>
          <w:szCs w:val="28"/>
        </w:rPr>
      </w:pPr>
      <w:r>
        <w:rPr>
          <w:rFonts w:hint="eastAsia" w:ascii="宋体" w:hAnsi="宋体" w:eastAsia="宋体" w:cs="宋体"/>
          <w:sz w:val="28"/>
          <w:szCs w:val="28"/>
        </w:rPr>
        <w:t>（一）建立完善机制，突出居家养老服务</w:t>
      </w:r>
    </w:p>
    <w:p>
      <w:pPr>
        <w:bidi w:val="0"/>
        <w:rPr>
          <w:rFonts w:hint="eastAsia" w:ascii="宋体" w:hAnsi="宋体" w:eastAsia="宋体" w:cs="宋体"/>
          <w:sz w:val="28"/>
          <w:szCs w:val="28"/>
        </w:rPr>
      </w:pPr>
      <w:r>
        <w:rPr>
          <w:rFonts w:hint="eastAsia" w:ascii="宋体" w:hAnsi="宋体" w:eastAsia="宋体" w:cs="宋体"/>
          <w:sz w:val="28"/>
          <w:szCs w:val="28"/>
        </w:rPr>
        <w:t>    充分发挥政府的主导作用，发展居家养老事业，加快养老服务社会化。一是建立完善老年社会保障制度。完善最低生活保障、医疗保险、大病救助和困难补助等政府层面的基本养老保障制度，为居家养老提供基础保障。二是认真制定社区居家养老服务规划。打造适合老年人居家养老的社区人居环境和舒适的居住条件，为居家养老提供环境保障，并按照规划持续推进社区养老服务事业。三是建立完善社区居家养老扶持政策。通过给予财政补贴或在用地、税收和公建配套等方面的政策引导，以及政府相关部门组织协调，大力拓宽养老服务融资渠道，引导社会力量兴办社区老年日间照料（活动、健身）中心、托老所、老人食堂等养老服务设施，培育和完善市场化运作养老机构和完善居家养老服务运行机制。四是建立完善社区志愿者服务机制。精心组织和引导社会力量志愿开展居家养老社会照料服务，鼓励社会参与居家老人的社会化服务，同时，引导企业、社会团体、个人和慈善机构资助居家养老服务工作。五是实施居家养老服务评估监督机制。一方面，要建立对居家养老服务设施和服务管理的评估和监督机制，对实施过程及结果进行评估和监督。另一方面，建立对居家养老服务实际效果进行评估的有效机制。通过建立并实施服务质量标准，按照标准搞好评估和监督，奖励符合标准的服务机构，取缔不合要求服务机构。同时，通过对居家养老机构进行等级评定，并采取相应的扶持政策，引导社区居家养老服务机构不断提高硬件和软件水平，努力提高社区养老服务水平。</w:t>
      </w:r>
    </w:p>
    <w:p>
      <w:pPr>
        <w:bidi w:val="0"/>
        <w:rPr>
          <w:rFonts w:hint="eastAsia" w:ascii="宋体" w:hAnsi="宋体" w:eastAsia="宋体" w:cs="宋体"/>
          <w:sz w:val="28"/>
          <w:szCs w:val="28"/>
        </w:rPr>
      </w:pPr>
      <w:r>
        <w:rPr>
          <w:rFonts w:hint="eastAsia" w:ascii="宋体" w:hAnsi="宋体" w:eastAsia="宋体" w:cs="宋体"/>
          <w:sz w:val="28"/>
          <w:szCs w:val="28"/>
        </w:rPr>
        <w:t>（二）营造良好氛围，大力促进社会参与</w:t>
      </w:r>
    </w:p>
    <w:p>
      <w:pPr>
        <w:bidi w:val="0"/>
        <w:rPr>
          <w:rFonts w:hint="eastAsia" w:ascii="宋体" w:hAnsi="宋体" w:eastAsia="宋体" w:cs="宋体"/>
          <w:sz w:val="28"/>
          <w:szCs w:val="28"/>
        </w:rPr>
      </w:pPr>
      <w:r>
        <w:rPr>
          <w:rFonts w:hint="eastAsia" w:ascii="宋体" w:hAnsi="宋体" w:eastAsia="宋体" w:cs="宋体"/>
          <w:sz w:val="28"/>
          <w:szCs w:val="28"/>
        </w:rPr>
        <w:t>    通过广泛宣传，为推进养老服务社会化营造良好的氛围。一要向老年人的宣传。逐步改变老年人传统的生活观念和消极的消费理念，增进老年人对社会的认同感和信任感，消除顾虑和偏见，鼓励老年人主动融入社区，舍得为自己购买服务，乐于接受社会服务；二是加强社会宣传。让家庭成员自觉履行赡养和扶助老人的义务，支持并帮助老年人购买社会服务，为老年人接受社会服务提供物质和精神保障；三是发挥志愿者作用。鼓励、动员和组织社会力量援助困难老人接受社会服务。通过社区组织机关团体、学校、民办养老机构等单位开展“一助一”长期结对服务，定期上门为老人家庭，特别是孤寡独居老人开展以医疗保健、生活照料、文化娱乐为主要内容的多种服务；四是开展养老服务邻里互助。组织社区低龄老人、低保人员与“空巢”、高龄或独居老人建立起联系制度，及时了解他们的身体健康状况以及生活所需，一旦生活上遇到困难，可以通过联系卡联系，以得到快捷的帮助和照料，使老人家庭得到更多的社会帮助。</w:t>
      </w:r>
    </w:p>
    <w:p>
      <w:pPr>
        <w:bidi w:val="0"/>
        <w:rPr>
          <w:rFonts w:hint="eastAsia" w:ascii="宋体" w:hAnsi="宋体" w:eastAsia="宋体" w:cs="宋体"/>
          <w:sz w:val="28"/>
          <w:szCs w:val="28"/>
        </w:rPr>
      </w:pPr>
      <w:r>
        <w:rPr>
          <w:rFonts w:hint="eastAsia" w:ascii="宋体" w:hAnsi="宋体" w:eastAsia="宋体" w:cs="宋体"/>
          <w:sz w:val="28"/>
          <w:szCs w:val="28"/>
        </w:rPr>
        <w:t>（三）紧紧依托社区，开展多种社会服务</w:t>
      </w:r>
    </w:p>
    <w:p>
      <w:pPr>
        <w:bidi w:val="0"/>
        <w:rPr>
          <w:rFonts w:hint="eastAsia" w:ascii="宋体" w:hAnsi="宋体" w:eastAsia="宋体" w:cs="宋体"/>
          <w:sz w:val="28"/>
          <w:szCs w:val="28"/>
        </w:rPr>
      </w:pPr>
      <w:r>
        <w:rPr>
          <w:rFonts w:hint="eastAsia" w:ascii="宋体" w:hAnsi="宋体" w:eastAsia="宋体" w:cs="宋体"/>
          <w:sz w:val="28"/>
          <w:szCs w:val="28"/>
        </w:rPr>
        <w:t>    社区是老年人的主要活动场所和生活空间，因此，社区也是养老社会服务的主要载体。依托社区，为老年人提供多种多样的服务，是应对人口老龄化挑战，使老年人实现“六个老有”的重要途径。通过设立社区居家养老服务中心，加强专业养老服务机构建设，重点发展家政、老年精神关爱和病患陪护等服务，形成多层次、多形式的居家服务市场和经营机构，是当前发展养老社会服务的重点。首先，要加大对社区养老服务设施的投入。通过多方位、多渠道筹集资金，加大投资力度，确保每个社区都设立养老服务（日间照料）中心，加快建设社区养老服务公益性信息服务平台；其次，要开展多种形式的社区服务。社区要能够为老年人提供包括家政服务、健康娱乐、学习教育、法律咨询等多种服务项目，满足老年人基本服务需求；第三，健全社区老年医疗保健服务体系。建立健全以社区卫生服务中心为主体的老年医疗保健服务体系，开展老年健康教育和心理咨询，健全社区老年健康档案，加强老年病的预防保健，关爱老年精神健康，提高老年人自我保健意识。设立老年家庭病床，开展各类传染病、慢性病的防治与管理，为行动不便的老年慢性病患者提供上门服务；第四，加强社区养老服务队伍建设。要切实加强社区干部队伍和专业养老服务队伍建设，培养一批能够担当养老社会服务工作的高素质管理和服务人员。要通过政府购买公益性岗位，解决社区专业养老队伍建设问题。同时，组织发动社区各类服务组织加盟社区养老服务，提高社区为老年人的服务质量，使服务更加人性化、规范化，从物质和精神上满足老人的多种服务需求，不仅让老年人享受到有关的照顾资源，还要让老年人享受到高质量的服务。</w:t>
      </w:r>
    </w:p>
    <w:p>
      <w:pPr>
        <w:bidi w:val="0"/>
        <w:rPr>
          <w:rFonts w:hint="eastAsia" w:ascii="宋体" w:hAnsi="宋体" w:eastAsia="宋体" w:cs="宋体"/>
          <w:sz w:val="28"/>
          <w:szCs w:val="28"/>
        </w:rPr>
      </w:pPr>
      <w:r>
        <w:rPr>
          <w:rFonts w:hint="eastAsia" w:ascii="宋体" w:hAnsi="宋体" w:eastAsia="宋体" w:cs="宋体"/>
          <w:sz w:val="28"/>
          <w:szCs w:val="28"/>
        </w:rPr>
        <w:t>（四）丰富社区文化，突出老年精神关爱</w:t>
      </w:r>
    </w:p>
    <w:p>
      <w:pPr>
        <w:bidi w:val="0"/>
        <w:rPr>
          <w:rFonts w:hint="eastAsia" w:ascii="宋体" w:hAnsi="宋体" w:eastAsia="宋体" w:cs="宋体"/>
          <w:sz w:val="28"/>
          <w:szCs w:val="28"/>
        </w:rPr>
      </w:pPr>
      <w:r>
        <w:rPr>
          <w:rFonts w:hint="eastAsia" w:ascii="宋体" w:hAnsi="宋体" w:eastAsia="宋体" w:cs="宋体"/>
          <w:sz w:val="28"/>
          <w:szCs w:val="28"/>
        </w:rPr>
        <w:t>    在老年人整体物质生活水平不断提高的同时，有了更多的对丰富精神文化生活的渴望和追求。通过加强老年社区文化建设，实施老年精神关爱，应当列为养老社会服务的重要内容。一是加强老年活动阵地建设。要加快推进社区老年人活动场所和设施建设，确保每个社区都有老年人文化、娱乐、健身的活动场所，加强公园、广场和农村文化娱乐场所建设，增加城乡老年人日常活动空间，为丰富老年人精神生活创造必要条件；二是不断提高老年人健康水平。通过加强社区老年人健康教育、老年保健与疾病预防工作，重视老年心理健康，增进老年人健康水平，促进健康老龄化；三是加强社区老年社会组织建设。通过支持社区老年协会、老年学校、老年体协等专业老年社会团体建设，提升老年人自我管理、自我教育、自我服务能力，引导老年人参与各类积极健康的社会活动；四是实施积极老龄化战略。发动和组织社区老年人开展关心教育下一代、社区环保、社区治安等公益活动，充分发挥老年人的作用，不料提高老年人的成就感。</w:t>
      </w:r>
    </w:p>
    <w:p>
      <w:pPr>
        <w:bidi w:val="0"/>
        <w:rPr>
          <w:rFonts w:hint="eastAsia" w:ascii="宋体" w:hAnsi="宋体" w:eastAsia="宋体" w:cs="宋体"/>
          <w:sz w:val="28"/>
          <w:szCs w:val="28"/>
        </w:rPr>
      </w:pPr>
      <w:r>
        <w:rPr>
          <w:rFonts w:hint="eastAsia" w:ascii="宋体" w:hAnsi="宋体" w:eastAsia="宋体" w:cs="宋体"/>
          <w:sz w:val="28"/>
          <w:szCs w:val="28"/>
        </w:rPr>
        <w:t>综上所述，一方面，由于人口老龄化、老年人高龄化、老年“空巢”化，家庭养老功能已经弱化；另一方面，现行养老保障制度不完备，服务设施不足，服务组织还不健全，养老服务社会化程度还很低，养老服务产业发展与老年人的需求还有相当差距。提高养老社会保障程度和社会化服务水平是当前老年人最希望政府帮助解决的主要问题，构筑以居家养老为基础、社区服务为依托、机构养老为补充的社会养老服务体系显得至关重要。</w:t>
      </w:r>
    </w:p>
    <w:p>
      <w:pPr>
        <w:bidi w:val="0"/>
        <w:rPr>
          <w:rFonts w:hint="eastAsia" w:ascii="宋体" w:hAnsi="宋体" w:eastAsia="宋体" w:cs="宋体"/>
          <w:sz w:val="28"/>
          <w:szCs w:val="28"/>
        </w:rPr>
      </w:pPr>
    </w:p>
    <w:sectPr>
      <w:footerReference r:id="rId4" w:type="default"/>
      <w:pgSz w:w="11906" w:h="16838"/>
      <w:pgMar w:top="1440" w:right="1247" w:bottom="1440" w:left="1701"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w:panose1 w:val="020F0502020204030204"/>
    <w:charset w:val="86"/>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21">
    <w:altName w:val="方圆魂心体"/>
    <w:panose1 w:val="00000000000000000000"/>
    <w:charset w:val="00"/>
    <w:family w:val="auto"/>
    <w:pitch w:val="default"/>
    <w:sig w:usb0="00000000" w:usb1="00000000" w:usb2="00000000" w:usb3="00000000" w:csb0="00000000" w:csb1="00000000"/>
  </w:font>
  <w:font w:name="方圆魂心体">
    <w:panose1 w:val="02000009000000000000"/>
    <w:charset w:val="80"/>
    <w:family w:val="auto"/>
    <w:pitch w:val="default"/>
    <w:sig w:usb0="A1007AEF" w:usb1="F9DF7CFB" w:usb2="0000001E" w:usb3="00000000" w:csb0="20020000" w:csb1="00000000"/>
  </w:font>
  <w:font w:name="Helvetica">
    <w:panose1 w:val="020B0604020202030204"/>
    <w:charset w:val="00"/>
    <w:family w:val="auto"/>
    <w:pitch w:val="default"/>
    <w:sig w:usb0="00000000" w:usb1="00000000" w:usb2="00000000" w:usb3="00000000" w:csb0="00000093"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ascii="宋体" w:hAnsi="宋体" w:eastAsia="宋体" w:cs="宋体"/>
        <w:b/>
        <w:bCs/>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jc w:val="right"/>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   \* MERGEFORMAT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lang w:val="zh-CN"/>
                            </w:rPr>
                            <w:t>2</w:t>
                          </w:r>
                          <w:r>
                            <w:rPr>
                              <w:rFonts w:hint="eastAsia" w:ascii="宋体" w:hAnsi="宋体" w:eastAsia="宋体" w:cs="宋体"/>
                              <w:b/>
                              <w:bCs/>
                              <w:sz w:val="24"/>
                              <w:szCs w:val="24"/>
                              <w:lang w:val="zh-CN"/>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AYbmry5wEAAMcD&#10;AAAOAAAAAAAAAAEAIAAAAB4BAABkcnMvZTJvRG9jLnhtbFBLBQYAAAAABgAGAFkBAAB3BQAAAAA=&#10;">
              <v:fill on="f" focussize="0,0"/>
              <v:stroke on="f"/>
              <v:imagedata o:title=""/>
              <o:lock v:ext="edit" aspectratio="f"/>
              <v:textbox inset="0mm,0mm,0mm,0mm" style="mso-fit-shape-to-text:t;">
                <w:txbxContent>
                  <w:p>
                    <w:pPr>
                      <w:pStyle w:val="3"/>
                      <w:jc w:val="right"/>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   \* MERGEFORMAT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lang w:val="zh-CN"/>
                      </w:rPr>
                      <w:t>2</w:t>
                    </w:r>
                    <w:r>
                      <w:rPr>
                        <w:rFonts w:hint="eastAsia" w:ascii="宋体" w:hAnsi="宋体" w:eastAsia="宋体" w:cs="宋体"/>
                        <w:b/>
                        <w:bCs/>
                        <w:sz w:val="24"/>
                        <w:szCs w:val="24"/>
                        <w:lang w:val="zh-CN"/>
                      </w:rPr>
                      <w:fldChar w:fldCharType="end"/>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FB1"/>
    <w:rsid w:val="000A19C7"/>
    <w:rsid w:val="00420054"/>
    <w:rsid w:val="00504552"/>
    <w:rsid w:val="005965BA"/>
    <w:rsid w:val="00A94FB1"/>
    <w:rsid w:val="00B6637F"/>
    <w:rsid w:val="06336531"/>
    <w:rsid w:val="100D394F"/>
    <w:rsid w:val="11AF62F3"/>
    <w:rsid w:val="144D63F0"/>
    <w:rsid w:val="15C164DE"/>
    <w:rsid w:val="16663DB9"/>
    <w:rsid w:val="183A374F"/>
    <w:rsid w:val="2A0E2346"/>
    <w:rsid w:val="2D8C1F00"/>
    <w:rsid w:val="31E22A36"/>
    <w:rsid w:val="39923F02"/>
    <w:rsid w:val="3EDE398B"/>
    <w:rsid w:val="46A17226"/>
    <w:rsid w:val="485338EE"/>
    <w:rsid w:val="4CC87C55"/>
    <w:rsid w:val="4FCF2309"/>
    <w:rsid w:val="4FDA66A3"/>
    <w:rsid w:val="52DC0984"/>
    <w:rsid w:val="55081F04"/>
    <w:rsid w:val="5915699E"/>
    <w:rsid w:val="5B61236E"/>
    <w:rsid w:val="68C161FA"/>
    <w:rsid w:val="6BFF1513"/>
    <w:rsid w:val="6CCE5DFA"/>
    <w:rsid w:val="6D3F3B91"/>
    <w:rsid w:val="77E13313"/>
    <w:rsid w:val="79861490"/>
    <w:rsid w:val="7F831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unhideWhenUsed/>
    <w:uiPriority w:val="0"/>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semiHidden/>
    <w:unhideWhenUsed/>
    <w:qFormat/>
    <w:uiPriority w:val="39"/>
  </w:style>
  <w:style w:type="paragraph" w:styleId="6">
    <w:name w:val="Normal (Web)"/>
    <w:basedOn w:val="1"/>
    <w:semiHidden/>
    <w:unhideWhenUsed/>
    <w:qFormat/>
    <w:uiPriority w:val="99"/>
    <w:pPr>
      <w:spacing w:before="100" w:beforeAutospacing="1" w:after="100" w:afterAutospacing="1"/>
    </w:pPr>
  </w:style>
  <w:style w:type="character" w:styleId="9">
    <w:name w:val="Strong"/>
    <w:basedOn w:val="8"/>
    <w:qFormat/>
    <w:uiPriority w:val="22"/>
    <w:rPr>
      <w:b/>
      <w:bCs/>
    </w:rPr>
  </w:style>
  <w:style w:type="character" w:styleId="10">
    <w:name w:val="Hyperlink"/>
    <w:basedOn w:val="8"/>
    <w:semiHidden/>
    <w:unhideWhenUsed/>
    <w:uiPriority w:val="99"/>
    <w:rPr>
      <w:color w:val="0000FF"/>
      <w:u w:val="single"/>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uiPriority w:val="99"/>
    <w:rPr>
      <w:sz w:val="18"/>
      <w:szCs w:val="18"/>
    </w:rPr>
  </w:style>
  <w:style w:type="character" w:customStyle="1" w:styleId="13">
    <w:name w:val="批注框文本 Char"/>
    <w:basedOn w:val="8"/>
    <w:link w:val="2"/>
    <w:semiHidden/>
    <w:qFormat/>
    <w:uiPriority w:val="99"/>
    <w:rPr>
      <w:sz w:val="18"/>
      <w:szCs w:val="18"/>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 w:type="paragraph" w:customStyle="1" w:styleId="15">
    <w:name w:val="WPSOffice手动目录 2"/>
    <w:qFormat/>
    <w:uiPriority w:val="0"/>
    <w:pPr>
      <w:ind w:leftChars="200"/>
    </w:pPr>
    <w:rPr>
      <w:rFonts w:ascii="Times New Roman" w:hAnsi="Times New Roman" w:eastAsia="宋体" w:cs="Times New Roman"/>
      <w:sz w:val="20"/>
      <w:szCs w:val="20"/>
    </w:rPr>
  </w:style>
  <w:style w:type="paragraph" w:customStyle="1" w:styleId="16">
    <w:name w:val="样式 宋体 5 磅 左 首行缩进:  0.85 厘米 行距: 最小值 20 磅"/>
    <w:basedOn w:val="1"/>
    <w:qFormat/>
    <w:uiPriority w:val="0"/>
    <w:pPr>
      <w:spacing w:line="400" w:lineRule="atLeast"/>
      <w:ind w:firstLine="480"/>
      <w:jc w:val="left"/>
    </w:pPr>
    <w:rPr>
      <w:rFonts w:ascii="宋体" w:hAnsi="宋体" w:cs="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e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9.emf"/><Relationship Id="rId21" Type="http://schemas.openxmlformats.org/officeDocument/2006/relationships/oleObject" Target="embeddings/oleObject8.bin"/><Relationship Id="rId20" Type="http://schemas.openxmlformats.org/officeDocument/2006/relationships/image" Target="media/image8.e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7.emf"/><Relationship Id="rId17" Type="http://schemas.openxmlformats.org/officeDocument/2006/relationships/oleObject" Target="embeddings/oleObject6.bin"/><Relationship Id="rId16" Type="http://schemas.openxmlformats.org/officeDocument/2006/relationships/image" Target="media/image6.emf"/><Relationship Id="rId15" Type="http://schemas.openxmlformats.org/officeDocument/2006/relationships/oleObject" Target="embeddings/oleObject5.bin"/><Relationship Id="rId14" Type="http://schemas.openxmlformats.org/officeDocument/2006/relationships/image" Target="media/image5.emf"/><Relationship Id="rId13" Type="http://schemas.openxmlformats.org/officeDocument/2006/relationships/oleObject" Target="embeddings/oleObject4.bin"/><Relationship Id="rId12" Type="http://schemas.openxmlformats.org/officeDocument/2006/relationships/image" Target="media/image4.emf"/><Relationship Id="rId11" Type="http://schemas.openxmlformats.org/officeDocument/2006/relationships/oleObject" Target="embeddings/oleObject3.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99</Words>
  <Characters>567</Characters>
  <Lines>4</Lines>
  <Paragraphs>1</Paragraphs>
  <TotalTime>11</TotalTime>
  <ScaleCrop>false</ScaleCrop>
  <LinksUpToDate>false</LinksUpToDate>
  <CharactersWithSpaces>665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2016-06-21T01:34:00Z</dcterms:created>
  <dc:creator>lenovo</dc:creator>
  <cp:lastModifiedBy>笨蛋小妞</cp:lastModifiedBy>
  <dcterms:modified xsi:type="dcterms:W3CDTF">2022-02-19T14:06:13Z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1F912533A88848E0BDE6E87C4C9AE5FF</vt:lpwstr>
  </property>
</Properties>
</file>