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第九章：出口结汇计算</w:t>
      </w:r>
    </w:p>
    <w:p>
      <w:pPr>
        <w:jc w:val="lef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32"/>
          <w:szCs w:val="32"/>
        </w:rPr>
        <w:t>广州某外贸公司从长沙购进一批大米，人民币共计60万，为促使该产品所产生的费用人民币6万，经核算出口退税3万，该批商品出口至新加坡，CFR报价11万美金，广州到新加坡运费为1万美金，结算时所用汇率是$1= ￥ 7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/>
          <w:b w:val="0"/>
          <w:bCs w:val="0"/>
          <w:sz w:val="32"/>
          <w:szCs w:val="32"/>
        </w:rPr>
        <w:t>计算：</w:t>
      </w: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换汇成本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/>
          <w:b w:val="0"/>
          <w:bCs w:val="0"/>
          <w:sz w:val="32"/>
          <w:szCs w:val="32"/>
        </w:rPr>
        <w:t>盈亏额</w:t>
      </w:r>
      <w:r>
        <w:rPr>
          <w:rFonts w:hint="eastAsia"/>
          <w:b w:val="0"/>
          <w:bCs w:val="0"/>
          <w:sz w:val="32"/>
          <w:szCs w:val="32"/>
          <w:lang w:eastAsia="zh-CN"/>
        </w:rPr>
        <w:t>。</w:t>
      </w: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/>
          <w:b w:val="0"/>
          <w:bCs w:val="0"/>
          <w:sz w:val="32"/>
          <w:szCs w:val="32"/>
          <w:lang w:eastAsia="zh-CN"/>
        </w:rPr>
        <w:t>已知CFRC3%为1200美元，保持卖方净收入不变。试改报为CFRC5%价。</w:t>
      </w: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3.设某商品CFR价2000美元，设改成CFRC4%价，并保持卖方的净收入不变。</w:t>
      </w: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left"/>
        <w:rPr>
          <w:rFonts w:hint="eastAsia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356E"/>
    <w:rsid w:val="5EFE7DC2"/>
    <w:rsid w:val="76961779"/>
    <w:rsid w:val="7BA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2021-09-29T06:42:00Z</dcterms:created>
  <dc:creator>ASUS</dc:creator>
  <cp:lastModifiedBy>ASUS</cp:lastModifiedBy>
  <dcterms:modified xsi:type="dcterms:W3CDTF">2022-02-28T04:52:28Z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056FC43CEA5F4E3FBA8C2CB58363513E</vt:lpwstr>
  </property>
</Properties>
</file>